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4FB2" w14:textId="77777777" w:rsidR="004C62A6" w:rsidRPr="00EE2E26" w:rsidRDefault="004C62A6" w:rsidP="004C62A6">
      <w:pPr>
        <w:spacing w:line="0" w:lineRule="atLeast"/>
        <w:ind w:left="5500"/>
        <w:rPr>
          <w:rFonts w:ascii="Times New Roman" w:eastAsia="Arial" w:hAnsi="Times New Roman" w:cs="Times New Roman"/>
          <w:sz w:val="24"/>
        </w:rPr>
      </w:pPr>
      <w:r w:rsidRPr="00EE2E26">
        <w:rPr>
          <w:rFonts w:ascii="Times New Roman" w:eastAsia="Arial" w:hAnsi="Times New Roman" w:cs="Times New Roman"/>
          <w:sz w:val="24"/>
        </w:rPr>
        <w:t>УТВЕРЖДЕН</w:t>
      </w:r>
    </w:p>
    <w:p w14:paraId="7EBDB28F" w14:textId="77777777" w:rsidR="00A1742D" w:rsidRDefault="004C62A6" w:rsidP="00A1742D">
      <w:pPr>
        <w:spacing w:after="0" w:line="0" w:lineRule="atLeast"/>
        <w:ind w:left="5500"/>
        <w:rPr>
          <w:rFonts w:ascii="Times New Roman" w:hAnsi="Times New Roman" w:cs="Times New Roman"/>
          <w:sz w:val="24"/>
        </w:rPr>
      </w:pPr>
      <w:r w:rsidRPr="00EE2E26">
        <w:rPr>
          <w:rFonts w:ascii="Times New Roman" w:eastAsia="Arial" w:hAnsi="Times New Roman" w:cs="Times New Roman"/>
          <w:sz w:val="24"/>
        </w:rPr>
        <w:t>Наблюдательн</w:t>
      </w:r>
      <w:r>
        <w:rPr>
          <w:rFonts w:ascii="Times New Roman" w:hAnsi="Times New Roman" w:cs="Times New Roman"/>
          <w:sz w:val="24"/>
        </w:rPr>
        <w:t>ым</w:t>
      </w:r>
      <w:r w:rsidRPr="00EE2E26">
        <w:rPr>
          <w:rFonts w:ascii="Times New Roman" w:eastAsia="Arial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>ом</w:t>
      </w:r>
      <w:r w:rsidRPr="00EE2E26">
        <w:rPr>
          <w:rFonts w:ascii="Times New Roman" w:eastAsia="Arial" w:hAnsi="Times New Roman" w:cs="Times New Roman"/>
          <w:sz w:val="24"/>
        </w:rPr>
        <w:t xml:space="preserve"> Некоммерческой организации «Государственный Фонд развития промышленности Красноярского края»</w:t>
      </w:r>
      <w:r w:rsidRPr="00EE2E26">
        <w:rPr>
          <w:rFonts w:ascii="Times New Roman" w:hAnsi="Times New Roman" w:cs="Times New Roman"/>
          <w:sz w:val="24"/>
        </w:rPr>
        <w:t xml:space="preserve"> </w:t>
      </w:r>
    </w:p>
    <w:p w14:paraId="55ED415F" w14:textId="1F439527" w:rsidR="004C62A6" w:rsidRPr="00EE2E26" w:rsidRDefault="004C62A6" w:rsidP="00A1742D">
      <w:pPr>
        <w:spacing w:after="0" w:line="0" w:lineRule="atLeast"/>
        <w:ind w:left="5500"/>
        <w:rPr>
          <w:rFonts w:ascii="Times New Roman" w:eastAsia="Arial" w:hAnsi="Times New Roman" w:cs="Times New Roman"/>
          <w:sz w:val="24"/>
        </w:rPr>
      </w:pPr>
      <w:r w:rsidRPr="00EE2E26">
        <w:rPr>
          <w:rFonts w:ascii="Times New Roman" w:eastAsia="Arial" w:hAnsi="Times New Roman" w:cs="Times New Roman"/>
          <w:sz w:val="24"/>
        </w:rPr>
        <w:t>Протокол заседания</w:t>
      </w:r>
    </w:p>
    <w:p w14:paraId="36FC57E1" w14:textId="5DCF1C12" w:rsidR="00A1742D" w:rsidRPr="00AB4DC2" w:rsidRDefault="004C62A6" w:rsidP="00A1742D">
      <w:pPr>
        <w:spacing w:after="0" w:line="0" w:lineRule="atLeast"/>
        <w:ind w:left="5500"/>
        <w:rPr>
          <w:rFonts w:ascii="Times New Roman" w:eastAsia="Arial" w:hAnsi="Times New Roman" w:cs="Times New Roman"/>
          <w:sz w:val="24"/>
        </w:rPr>
      </w:pPr>
      <w:r w:rsidRPr="008F61EC">
        <w:rPr>
          <w:rFonts w:ascii="Times New Roman" w:eastAsia="Arial" w:hAnsi="Times New Roman" w:cs="Times New Roman"/>
          <w:sz w:val="24"/>
        </w:rPr>
        <w:t xml:space="preserve">От </w:t>
      </w:r>
      <w:r w:rsidR="00516257">
        <w:rPr>
          <w:rFonts w:ascii="Times New Roman" w:eastAsia="Arial" w:hAnsi="Times New Roman" w:cs="Times New Roman"/>
          <w:sz w:val="24"/>
        </w:rPr>
        <w:t>28.07.</w:t>
      </w:r>
      <w:r w:rsidRPr="008F61EC">
        <w:rPr>
          <w:rFonts w:ascii="Times New Roman" w:eastAsia="Arial" w:hAnsi="Times New Roman" w:cs="Times New Roman"/>
          <w:sz w:val="24"/>
        </w:rPr>
        <w:t>2022 года №</w:t>
      </w:r>
      <w:r w:rsidR="00516257">
        <w:rPr>
          <w:rFonts w:ascii="Times New Roman" w:eastAsia="Arial" w:hAnsi="Times New Roman" w:cs="Times New Roman"/>
          <w:sz w:val="24"/>
        </w:rPr>
        <w:t xml:space="preserve"> 3</w:t>
      </w:r>
      <w:r w:rsidR="00A1742D">
        <w:rPr>
          <w:rFonts w:ascii="Times New Roman" w:eastAsia="Arial" w:hAnsi="Times New Roman" w:cs="Times New Roman"/>
          <w:sz w:val="24"/>
        </w:rPr>
        <w:t xml:space="preserve"> </w:t>
      </w:r>
    </w:p>
    <w:p w14:paraId="33BB44F5" w14:textId="43B9D44C" w:rsidR="00A1742D" w:rsidRDefault="00AB4DC2" w:rsidP="00A1457A">
      <w:pPr>
        <w:spacing w:before="60" w:after="0" w:line="0" w:lineRule="atLeast"/>
        <w:ind w:left="550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Версия</w:t>
      </w:r>
      <w:r w:rsidR="00A1742D">
        <w:rPr>
          <w:rFonts w:ascii="Times New Roman" w:eastAsia="Arial" w:hAnsi="Times New Roman" w:cs="Times New Roman"/>
          <w:sz w:val="24"/>
        </w:rPr>
        <w:t xml:space="preserve"> 2 утверждена</w:t>
      </w:r>
    </w:p>
    <w:p w14:paraId="013D7D07" w14:textId="713D2231" w:rsidR="00A1742D" w:rsidRPr="008F61EC" w:rsidRDefault="00A1742D" w:rsidP="004C62A6">
      <w:pPr>
        <w:spacing w:line="0" w:lineRule="atLeast"/>
        <w:ind w:left="550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Протоколом от 08.11.2022 №</w:t>
      </w:r>
      <w:r w:rsidR="007C6D83">
        <w:rPr>
          <w:rFonts w:ascii="Times New Roman" w:eastAsia="Arial" w:hAnsi="Times New Roman" w:cs="Times New Roman"/>
          <w:sz w:val="24"/>
        </w:rPr>
        <w:t>0</w:t>
      </w:r>
      <w:r>
        <w:rPr>
          <w:rFonts w:ascii="Times New Roman" w:eastAsia="Arial" w:hAnsi="Times New Roman" w:cs="Times New Roman"/>
          <w:sz w:val="24"/>
        </w:rPr>
        <w:t>5</w:t>
      </w:r>
      <w:r w:rsidR="007C6D83">
        <w:rPr>
          <w:rFonts w:ascii="Times New Roman" w:eastAsia="Arial" w:hAnsi="Times New Roman" w:cs="Times New Roman"/>
          <w:sz w:val="24"/>
        </w:rPr>
        <w:t>/2022</w:t>
      </w:r>
    </w:p>
    <w:p w14:paraId="17AB5EAE" w14:textId="77777777" w:rsidR="004C62A6" w:rsidRPr="008F61EC" w:rsidRDefault="004C62A6" w:rsidP="004C62A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0CD7EF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2CC4D5ED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164FA05E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07C803A1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1F3FE3EC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7117A38E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32EA8216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698D5770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6E604E88" w14:textId="77777777" w:rsidR="0059259D" w:rsidRPr="00252E95" w:rsidRDefault="0059259D" w:rsidP="0059259D">
      <w:pPr>
        <w:pStyle w:val="Default"/>
        <w:jc w:val="center"/>
        <w:rPr>
          <w:sz w:val="32"/>
          <w:szCs w:val="32"/>
        </w:rPr>
      </w:pPr>
      <w:r w:rsidRPr="00252E95">
        <w:rPr>
          <w:b/>
          <w:bCs/>
          <w:sz w:val="32"/>
          <w:szCs w:val="32"/>
        </w:rPr>
        <w:t>СТАНДАРТ ФОНДА</w:t>
      </w:r>
    </w:p>
    <w:p w14:paraId="7FB1B85B" w14:textId="77777777" w:rsidR="000F7275" w:rsidRPr="00252E95" w:rsidRDefault="0059259D" w:rsidP="005925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2E95">
        <w:rPr>
          <w:rFonts w:ascii="Times New Roman" w:hAnsi="Times New Roman" w:cs="Times New Roman"/>
          <w:b/>
          <w:bCs/>
          <w:sz w:val="32"/>
          <w:szCs w:val="32"/>
        </w:rPr>
        <w:t>ПОРЯДОК ОБЕСПЕЧЕНИЯ ВОЗВРАТА ЗАЙМОВ, ПРЕДОСТАВЛЕННЫХ В КАЧЕСТВЕ ФИНАНСИРОВАНИЯ ПРОЕКТОВ</w:t>
      </w:r>
    </w:p>
    <w:p w14:paraId="5FFA6C20" w14:textId="4DC3661E" w:rsidR="0059259D" w:rsidRDefault="00935619" w:rsidP="00935619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версия 2</w:t>
      </w:r>
    </w:p>
    <w:p w14:paraId="2512E536" w14:textId="0214CF1B" w:rsidR="0059259D" w:rsidRDefault="00252E95" w:rsidP="00A174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361E4" w:rsidRPr="00252E95">
        <w:rPr>
          <w:rFonts w:ascii="Times New Roman" w:hAnsi="Times New Roman" w:cs="Times New Roman"/>
          <w:b/>
          <w:bCs/>
          <w:sz w:val="28"/>
          <w:szCs w:val="28"/>
        </w:rPr>
        <w:t>СФ-</w:t>
      </w:r>
      <w:r w:rsidRPr="00252E9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359E744" w14:textId="24FA5EE5" w:rsidR="00A1742D" w:rsidRPr="00252E95" w:rsidRDefault="00A1742D" w:rsidP="00036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F5273" w14:textId="77777777" w:rsidR="0059259D" w:rsidRDefault="0059259D" w:rsidP="0059259D">
      <w:pPr>
        <w:rPr>
          <w:b/>
          <w:bCs/>
          <w:sz w:val="28"/>
          <w:szCs w:val="28"/>
        </w:rPr>
      </w:pPr>
    </w:p>
    <w:p w14:paraId="274AE53D" w14:textId="77777777" w:rsidR="0059259D" w:rsidRDefault="0059259D" w:rsidP="0059259D">
      <w:pPr>
        <w:rPr>
          <w:b/>
          <w:bCs/>
          <w:sz w:val="28"/>
          <w:szCs w:val="28"/>
        </w:rPr>
      </w:pPr>
    </w:p>
    <w:p w14:paraId="7F49185E" w14:textId="77777777" w:rsidR="0059259D" w:rsidRDefault="0059259D" w:rsidP="0059259D">
      <w:pPr>
        <w:rPr>
          <w:b/>
          <w:bCs/>
          <w:sz w:val="28"/>
          <w:szCs w:val="28"/>
        </w:rPr>
      </w:pPr>
    </w:p>
    <w:p w14:paraId="60F4D58D" w14:textId="77777777" w:rsidR="009D1A71" w:rsidRDefault="009D1A71" w:rsidP="00745C7B">
      <w:pPr>
        <w:spacing w:line="0" w:lineRule="atLeast"/>
        <w:jc w:val="center"/>
        <w:rPr>
          <w:rFonts w:ascii="Times New Roman" w:eastAsia="Arial" w:hAnsi="Times New Roman" w:cs="Times New Roman"/>
          <w:sz w:val="24"/>
        </w:rPr>
      </w:pPr>
    </w:p>
    <w:p w14:paraId="47EC88E5" w14:textId="29FCC3EB" w:rsidR="000361E4" w:rsidRPr="008F61EC" w:rsidRDefault="000361E4" w:rsidP="00745C7B">
      <w:pPr>
        <w:spacing w:line="0" w:lineRule="atLeast"/>
        <w:jc w:val="center"/>
        <w:rPr>
          <w:rFonts w:ascii="Times New Roman" w:eastAsia="Arial" w:hAnsi="Times New Roman" w:cs="Times New Roman"/>
          <w:sz w:val="24"/>
        </w:rPr>
      </w:pPr>
      <w:r w:rsidRPr="008F61EC">
        <w:rPr>
          <w:rFonts w:ascii="Times New Roman" w:eastAsia="Arial" w:hAnsi="Times New Roman" w:cs="Times New Roman"/>
          <w:sz w:val="24"/>
        </w:rPr>
        <w:t>г. Красноярск</w:t>
      </w:r>
    </w:p>
    <w:p w14:paraId="0B3E9C44" w14:textId="58A9EDA6" w:rsidR="00A1742D" w:rsidRDefault="000361E4" w:rsidP="000361E4">
      <w:pPr>
        <w:spacing w:line="0" w:lineRule="atLeast"/>
        <w:ind w:left="4560"/>
        <w:rPr>
          <w:rFonts w:ascii="Times New Roman" w:eastAsia="Arial" w:hAnsi="Times New Roman" w:cs="Times New Roman"/>
          <w:sz w:val="24"/>
        </w:rPr>
      </w:pPr>
      <w:r w:rsidRPr="008F61EC">
        <w:rPr>
          <w:rFonts w:ascii="Times New Roman" w:eastAsia="Arial" w:hAnsi="Times New Roman" w:cs="Times New Roman"/>
          <w:sz w:val="24"/>
        </w:rPr>
        <w:t>2022</w:t>
      </w:r>
    </w:p>
    <w:p w14:paraId="0A0ED34C" w14:textId="77777777" w:rsidR="00A1742D" w:rsidRDefault="00A1742D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br w:type="page"/>
      </w:r>
    </w:p>
    <w:p w14:paraId="568C1FB9" w14:textId="77777777" w:rsidR="000361E4" w:rsidRPr="008F61EC" w:rsidRDefault="000361E4" w:rsidP="000361E4">
      <w:pPr>
        <w:spacing w:line="0" w:lineRule="atLeast"/>
        <w:ind w:left="4560"/>
        <w:rPr>
          <w:rFonts w:ascii="Times New Roman" w:eastAsia="Arial" w:hAnsi="Times New Roman" w:cs="Times New Roman"/>
          <w:sz w:val="24"/>
        </w:rPr>
      </w:pPr>
    </w:p>
    <w:p w14:paraId="2EBD79FE" w14:textId="22983FAC" w:rsidR="0059259D" w:rsidRDefault="0059259D" w:rsidP="00745C7B">
      <w:pPr>
        <w:pStyle w:val="Default"/>
        <w:jc w:val="center"/>
        <w:rPr>
          <w:b/>
          <w:bCs/>
          <w:sz w:val="28"/>
          <w:szCs w:val="28"/>
        </w:rPr>
      </w:pPr>
      <w:bookmarkStart w:id="0" w:name="_Hlk104214312"/>
      <w:r>
        <w:rPr>
          <w:b/>
          <w:bCs/>
          <w:sz w:val="28"/>
          <w:szCs w:val="28"/>
        </w:rPr>
        <w:t>Оглавление</w:t>
      </w:r>
    </w:p>
    <w:bookmarkEnd w:id="0"/>
    <w:p w14:paraId="36DB3D04" w14:textId="77777777" w:rsidR="00745C7B" w:rsidRPr="00DA071C" w:rsidRDefault="00745C7B" w:rsidP="0059259D">
      <w:pPr>
        <w:pStyle w:val="Default"/>
        <w:rPr>
          <w:b/>
          <w:bCs/>
          <w:sz w:val="28"/>
          <w:szCs w:val="28"/>
        </w:rPr>
      </w:pPr>
    </w:p>
    <w:p w14:paraId="35FDE22F" w14:textId="2BB1717E" w:rsidR="0059259D" w:rsidRPr="00DA071C" w:rsidRDefault="0059259D" w:rsidP="00252E95">
      <w:pPr>
        <w:pStyle w:val="Default"/>
        <w:numPr>
          <w:ilvl w:val="0"/>
          <w:numId w:val="9"/>
        </w:numPr>
        <w:spacing w:after="36"/>
        <w:ind w:left="284" w:hanging="284"/>
        <w:rPr>
          <w:b/>
          <w:bCs/>
        </w:rPr>
      </w:pPr>
      <w:r w:rsidRPr="00DA071C">
        <w:rPr>
          <w:b/>
          <w:bCs/>
        </w:rPr>
        <w:t xml:space="preserve">Введение </w:t>
      </w:r>
      <w:r w:rsidR="00745C7B" w:rsidRPr="00DA071C">
        <w:rPr>
          <w:b/>
          <w:bCs/>
        </w:rPr>
        <w:t>……………………………………………</w:t>
      </w:r>
      <w:r w:rsidR="00DA071C">
        <w:rPr>
          <w:b/>
          <w:bCs/>
        </w:rPr>
        <w:t>……</w:t>
      </w:r>
      <w:proofErr w:type="gramStart"/>
      <w:r w:rsidR="00DA071C">
        <w:rPr>
          <w:b/>
          <w:bCs/>
        </w:rPr>
        <w:t>…….</w:t>
      </w:r>
      <w:proofErr w:type="gramEnd"/>
      <w:r w:rsidR="00DA071C">
        <w:rPr>
          <w:b/>
          <w:bCs/>
        </w:rPr>
        <w:t>.</w:t>
      </w:r>
      <w:r w:rsidR="00745C7B" w:rsidRPr="00DA071C">
        <w:rPr>
          <w:b/>
          <w:bCs/>
        </w:rPr>
        <w:t>…………</w:t>
      </w:r>
      <w:r w:rsidR="009D1A71">
        <w:rPr>
          <w:b/>
          <w:bCs/>
        </w:rPr>
        <w:t xml:space="preserve">. </w:t>
      </w:r>
      <w:r w:rsidR="00745C7B" w:rsidRPr="00DA071C">
        <w:rPr>
          <w:b/>
          <w:bCs/>
        </w:rPr>
        <w:t>………</w:t>
      </w:r>
      <w:proofErr w:type="gramStart"/>
      <w:r w:rsidR="00745C7B" w:rsidRPr="00DA071C">
        <w:rPr>
          <w:b/>
          <w:bCs/>
        </w:rPr>
        <w:t>…….</w:t>
      </w:r>
      <w:proofErr w:type="gramEnd"/>
      <w:r w:rsidR="00745C7B" w:rsidRPr="00DA071C">
        <w:rPr>
          <w:b/>
          <w:bCs/>
        </w:rPr>
        <w:t>.</w:t>
      </w:r>
      <w:r w:rsidRPr="00DA071C">
        <w:rPr>
          <w:b/>
          <w:bCs/>
        </w:rPr>
        <w:t xml:space="preserve">3 </w:t>
      </w:r>
    </w:p>
    <w:p w14:paraId="10DE8A03" w14:textId="77777777" w:rsidR="00252E95" w:rsidRPr="00DA071C" w:rsidRDefault="00252E95" w:rsidP="00252E95">
      <w:pPr>
        <w:pStyle w:val="Default"/>
        <w:spacing w:after="36"/>
        <w:ind w:left="720"/>
        <w:rPr>
          <w:b/>
          <w:bCs/>
        </w:rPr>
      </w:pPr>
    </w:p>
    <w:p w14:paraId="67DB07E7" w14:textId="18369618" w:rsidR="0059259D" w:rsidRPr="00DA071C" w:rsidRDefault="0059259D" w:rsidP="00252E95">
      <w:pPr>
        <w:pStyle w:val="Default"/>
        <w:numPr>
          <w:ilvl w:val="0"/>
          <w:numId w:val="9"/>
        </w:numPr>
        <w:spacing w:after="36"/>
        <w:ind w:left="284" w:hanging="284"/>
        <w:rPr>
          <w:b/>
          <w:bCs/>
        </w:rPr>
      </w:pPr>
      <w:r w:rsidRPr="00DA071C">
        <w:rPr>
          <w:b/>
          <w:bCs/>
        </w:rPr>
        <w:t xml:space="preserve">Основные термины и определения </w:t>
      </w:r>
      <w:r w:rsidR="00745C7B" w:rsidRPr="00DA071C">
        <w:rPr>
          <w:b/>
          <w:bCs/>
        </w:rPr>
        <w:t>…………………………</w:t>
      </w:r>
      <w:r w:rsidR="00DA071C">
        <w:rPr>
          <w:b/>
          <w:bCs/>
        </w:rPr>
        <w:t>…………</w:t>
      </w:r>
      <w:r w:rsidR="00745C7B" w:rsidRPr="00DA071C">
        <w:rPr>
          <w:b/>
          <w:bCs/>
        </w:rPr>
        <w:t>……………...</w:t>
      </w:r>
      <w:r w:rsidRPr="00DA071C">
        <w:rPr>
          <w:b/>
          <w:bCs/>
        </w:rPr>
        <w:t xml:space="preserve">3 </w:t>
      </w:r>
    </w:p>
    <w:p w14:paraId="3A7946A3" w14:textId="77777777" w:rsidR="00252E95" w:rsidRPr="00DA071C" w:rsidRDefault="00252E95" w:rsidP="00252E95">
      <w:pPr>
        <w:pStyle w:val="Default"/>
        <w:spacing w:after="36"/>
        <w:ind w:left="720"/>
        <w:rPr>
          <w:b/>
          <w:bCs/>
        </w:rPr>
      </w:pPr>
    </w:p>
    <w:p w14:paraId="58CB1929" w14:textId="7B944A11" w:rsidR="0059259D" w:rsidRPr="00DA071C" w:rsidRDefault="0059259D" w:rsidP="00252E95">
      <w:pPr>
        <w:pStyle w:val="Default"/>
        <w:numPr>
          <w:ilvl w:val="0"/>
          <w:numId w:val="9"/>
        </w:numPr>
        <w:spacing w:after="36"/>
        <w:ind w:left="284" w:hanging="284"/>
        <w:rPr>
          <w:b/>
          <w:bCs/>
        </w:rPr>
      </w:pPr>
      <w:r w:rsidRPr="00DA071C">
        <w:rPr>
          <w:b/>
          <w:bCs/>
        </w:rPr>
        <w:t>Виды используемого фондом обеспечения</w:t>
      </w:r>
      <w:r w:rsidR="00745C7B" w:rsidRPr="00DA071C">
        <w:rPr>
          <w:b/>
          <w:bCs/>
        </w:rPr>
        <w:t>……………………………</w:t>
      </w:r>
      <w:r w:rsidR="00DA071C">
        <w:rPr>
          <w:b/>
          <w:bCs/>
        </w:rPr>
        <w:t>……</w:t>
      </w:r>
      <w:proofErr w:type="gramStart"/>
      <w:r w:rsidR="00DA071C">
        <w:rPr>
          <w:b/>
          <w:bCs/>
        </w:rPr>
        <w:t>…….</w:t>
      </w:r>
      <w:proofErr w:type="gramEnd"/>
      <w:r w:rsidR="00745C7B" w:rsidRPr="00DA071C">
        <w:rPr>
          <w:b/>
          <w:bCs/>
        </w:rPr>
        <w:t>….</w:t>
      </w:r>
      <w:r w:rsidRPr="00DA071C">
        <w:rPr>
          <w:b/>
          <w:bCs/>
        </w:rPr>
        <w:t xml:space="preserve"> 4 </w:t>
      </w:r>
    </w:p>
    <w:p w14:paraId="33BEB7E3" w14:textId="77777777" w:rsidR="00252E95" w:rsidRPr="00DA071C" w:rsidRDefault="00252E95" w:rsidP="0059259D">
      <w:pPr>
        <w:pStyle w:val="Default"/>
        <w:spacing w:after="36"/>
        <w:rPr>
          <w:b/>
          <w:bCs/>
        </w:rPr>
      </w:pPr>
    </w:p>
    <w:p w14:paraId="0291177C" w14:textId="394EB05C" w:rsidR="0059259D" w:rsidRPr="00DA071C" w:rsidRDefault="0059259D" w:rsidP="0059259D">
      <w:pPr>
        <w:pStyle w:val="Default"/>
        <w:spacing w:after="36"/>
        <w:rPr>
          <w:b/>
          <w:bCs/>
        </w:rPr>
      </w:pPr>
      <w:r w:rsidRPr="00DA071C">
        <w:rPr>
          <w:b/>
          <w:bCs/>
        </w:rPr>
        <w:t xml:space="preserve">4. Ковенанты </w:t>
      </w:r>
      <w:r w:rsidR="00745C7B" w:rsidRPr="00DA071C">
        <w:rPr>
          <w:b/>
          <w:bCs/>
        </w:rPr>
        <w:t>……………………………………………………………………</w:t>
      </w:r>
      <w:r w:rsidR="00DA071C">
        <w:rPr>
          <w:b/>
          <w:bCs/>
        </w:rPr>
        <w:t>……</w:t>
      </w:r>
      <w:proofErr w:type="gramStart"/>
      <w:r w:rsidR="00DA071C">
        <w:rPr>
          <w:b/>
          <w:bCs/>
        </w:rPr>
        <w:t>…….</w:t>
      </w:r>
      <w:proofErr w:type="gramEnd"/>
      <w:r w:rsidR="00DA071C">
        <w:rPr>
          <w:b/>
          <w:bCs/>
        </w:rPr>
        <w:t>.</w:t>
      </w:r>
      <w:r w:rsidR="005B1E58">
        <w:rPr>
          <w:b/>
          <w:bCs/>
        </w:rPr>
        <w:t>6</w:t>
      </w:r>
      <w:r w:rsidRPr="00DA071C">
        <w:rPr>
          <w:b/>
          <w:bCs/>
        </w:rPr>
        <w:t xml:space="preserve"> </w:t>
      </w:r>
    </w:p>
    <w:p w14:paraId="62C726BA" w14:textId="77777777" w:rsidR="00252E95" w:rsidRPr="00DA071C" w:rsidRDefault="00252E95" w:rsidP="0059259D">
      <w:pPr>
        <w:pStyle w:val="Default"/>
        <w:spacing w:after="36"/>
        <w:rPr>
          <w:b/>
          <w:bCs/>
        </w:rPr>
      </w:pPr>
    </w:p>
    <w:p w14:paraId="133E9E81" w14:textId="79E9D574" w:rsidR="0059259D" w:rsidRPr="00DA071C" w:rsidRDefault="0059259D" w:rsidP="0059259D">
      <w:pPr>
        <w:pStyle w:val="Default"/>
        <w:spacing w:after="36"/>
        <w:rPr>
          <w:b/>
          <w:bCs/>
        </w:rPr>
      </w:pPr>
      <w:r w:rsidRPr="00DA071C">
        <w:rPr>
          <w:b/>
          <w:bCs/>
        </w:rPr>
        <w:t>5. Управление обеспечением возврата средств на стадии экспертизы и оформления договора займа</w:t>
      </w:r>
      <w:r w:rsidR="00745C7B" w:rsidRPr="00DA071C">
        <w:rPr>
          <w:b/>
          <w:bCs/>
        </w:rPr>
        <w:t>……………………………</w:t>
      </w:r>
      <w:r w:rsidR="00DA071C">
        <w:rPr>
          <w:b/>
          <w:bCs/>
        </w:rPr>
        <w:t>…………………………</w:t>
      </w:r>
      <w:r w:rsidR="00745C7B" w:rsidRPr="00DA071C">
        <w:rPr>
          <w:b/>
          <w:bCs/>
        </w:rPr>
        <w:t>………………………</w:t>
      </w:r>
      <w:r w:rsidRPr="00DA071C">
        <w:rPr>
          <w:b/>
          <w:bCs/>
        </w:rPr>
        <w:t xml:space="preserve"> </w:t>
      </w:r>
      <w:r w:rsidR="005B1E58">
        <w:rPr>
          <w:b/>
          <w:bCs/>
        </w:rPr>
        <w:t>8</w:t>
      </w:r>
      <w:r w:rsidRPr="00DA071C">
        <w:rPr>
          <w:b/>
          <w:bCs/>
        </w:rPr>
        <w:t xml:space="preserve"> </w:t>
      </w:r>
    </w:p>
    <w:p w14:paraId="77634F4D" w14:textId="77777777" w:rsidR="00252E95" w:rsidRPr="00DA071C" w:rsidRDefault="00252E95" w:rsidP="0059259D">
      <w:pPr>
        <w:pStyle w:val="Default"/>
        <w:spacing w:after="36"/>
        <w:rPr>
          <w:b/>
          <w:bCs/>
        </w:rPr>
      </w:pPr>
    </w:p>
    <w:p w14:paraId="3EE2A008" w14:textId="713BBB86" w:rsidR="00DA071C" w:rsidRDefault="0059259D" w:rsidP="0059259D">
      <w:pPr>
        <w:pStyle w:val="Default"/>
        <w:spacing w:after="36"/>
        <w:rPr>
          <w:b/>
          <w:bCs/>
        </w:rPr>
      </w:pPr>
      <w:r w:rsidRPr="00DA071C">
        <w:rPr>
          <w:b/>
          <w:bCs/>
        </w:rPr>
        <w:t>6. Контроль состояния обеспечения и управление изменением обеспечения</w:t>
      </w:r>
      <w:r w:rsidR="00DA071C">
        <w:rPr>
          <w:b/>
          <w:bCs/>
        </w:rPr>
        <w:t xml:space="preserve"> ………</w:t>
      </w:r>
      <w:r w:rsidR="005B1E58">
        <w:rPr>
          <w:b/>
          <w:bCs/>
        </w:rPr>
        <w:t>8</w:t>
      </w:r>
      <w:r w:rsidRPr="00DA071C">
        <w:rPr>
          <w:b/>
          <w:bCs/>
        </w:rPr>
        <w:t xml:space="preserve"> </w:t>
      </w:r>
    </w:p>
    <w:p w14:paraId="16C7B9CB" w14:textId="77777777" w:rsidR="00DA071C" w:rsidRDefault="00DA071C" w:rsidP="0059259D">
      <w:pPr>
        <w:pStyle w:val="Default"/>
        <w:spacing w:after="36"/>
        <w:rPr>
          <w:b/>
          <w:bCs/>
        </w:rPr>
      </w:pPr>
    </w:p>
    <w:p w14:paraId="73493F69" w14:textId="15E4CE3E" w:rsidR="0059259D" w:rsidRPr="00DA071C" w:rsidRDefault="0059259D" w:rsidP="0059259D">
      <w:pPr>
        <w:pStyle w:val="Default"/>
        <w:spacing w:after="36"/>
      </w:pPr>
      <w:r w:rsidRPr="00DA071C">
        <w:t>Приложение № 1</w:t>
      </w:r>
      <w:r w:rsidR="00745C7B" w:rsidRPr="00DA071C">
        <w:t>…………………</w:t>
      </w:r>
      <w:r w:rsidR="00DA071C" w:rsidRPr="00DA071C">
        <w:t>…………</w:t>
      </w:r>
      <w:proofErr w:type="gramStart"/>
      <w:r w:rsidR="00DA071C" w:rsidRPr="00DA071C">
        <w:t>…….</w:t>
      </w:r>
      <w:proofErr w:type="gramEnd"/>
      <w:r w:rsidR="00745C7B" w:rsidRPr="00DA071C">
        <w:t>………………………………………….</w:t>
      </w:r>
      <w:r w:rsidRPr="00DA071C">
        <w:t xml:space="preserve"> 1</w:t>
      </w:r>
      <w:r w:rsidR="005B1E58">
        <w:t>1</w:t>
      </w:r>
      <w:r w:rsidRPr="00DA071C">
        <w:t xml:space="preserve"> </w:t>
      </w:r>
    </w:p>
    <w:p w14:paraId="5C1297ED" w14:textId="758F1EF1" w:rsidR="0059259D" w:rsidRPr="00DA071C" w:rsidRDefault="0059259D" w:rsidP="0059259D">
      <w:pPr>
        <w:pStyle w:val="Default"/>
        <w:spacing w:after="36"/>
      </w:pPr>
      <w:r w:rsidRPr="00DA071C">
        <w:t>Приложение № 2</w:t>
      </w:r>
      <w:r w:rsidR="00745C7B" w:rsidRPr="00DA071C">
        <w:t>………………………</w:t>
      </w:r>
      <w:r w:rsidR="00DA071C" w:rsidRPr="00DA071C">
        <w:t>………………</w:t>
      </w:r>
      <w:r w:rsidR="00745C7B" w:rsidRPr="00DA071C">
        <w:t>………………………………</w:t>
      </w:r>
      <w:proofErr w:type="gramStart"/>
      <w:r w:rsidR="00745C7B" w:rsidRPr="00DA071C">
        <w:t>…….</w:t>
      </w:r>
      <w:proofErr w:type="gramEnd"/>
      <w:r w:rsidR="00745C7B" w:rsidRPr="00DA071C">
        <w:t>.</w:t>
      </w:r>
      <w:r w:rsidRPr="00DA071C">
        <w:t xml:space="preserve"> </w:t>
      </w:r>
      <w:r w:rsidR="005B1E58">
        <w:t>19</w:t>
      </w:r>
      <w:r w:rsidRPr="00DA071C">
        <w:t xml:space="preserve"> </w:t>
      </w:r>
    </w:p>
    <w:p w14:paraId="505B57CE" w14:textId="1D7DC42D" w:rsidR="0059259D" w:rsidRPr="00DA071C" w:rsidRDefault="0059259D" w:rsidP="0059259D">
      <w:pPr>
        <w:pStyle w:val="Default"/>
      </w:pPr>
      <w:r w:rsidRPr="00DA071C">
        <w:t>Приложение № 3</w:t>
      </w:r>
      <w:r w:rsidR="00745C7B" w:rsidRPr="00DA071C">
        <w:t>…………………………………………</w:t>
      </w:r>
      <w:r w:rsidR="00DA071C" w:rsidRPr="00DA071C">
        <w:t>………………</w:t>
      </w:r>
      <w:r w:rsidR="00745C7B" w:rsidRPr="00DA071C">
        <w:t>……………</w:t>
      </w:r>
      <w:proofErr w:type="gramStart"/>
      <w:r w:rsidR="00745C7B" w:rsidRPr="00DA071C">
        <w:t>…….</w:t>
      </w:r>
      <w:proofErr w:type="gramEnd"/>
      <w:r w:rsidR="00745C7B" w:rsidRPr="00DA071C">
        <w:t>.</w:t>
      </w:r>
      <w:r w:rsidRPr="00DA071C">
        <w:t xml:space="preserve"> 2</w:t>
      </w:r>
      <w:r w:rsidR="005B1E58">
        <w:t>0</w:t>
      </w:r>
      <w:r w:rsidRPr="00DA071C">
        <w:t xml:space="preserve"> </w:t>
      </w:r>
    </w:p>
    <w:p w14:paraId="5B446B93" w14:textId="77777777" w:rsidR="0059259D" w:rsidRPr="00252E95" w:rsidRDefault="0059259D" w:rsidP="0059259D">
      <w:pPr>
        <w:rPr>
          <w:b/>
          <w:bCs/>
          <w:sz w:val="24"/>
          <w:szCs w:val="24"/>
        </w:rPr>
      </w:pPr>
    </w:p>
    <w:p w14:paraId="6ADFDC43" w14:textId="77777777" w:rsidR="0059259D" w:rsidRDefault="0059259D" w:rsidP="0059259D">
      <w:pPr>
        <w:rPr>
          <w:b/>
          <w:bCs/>
          <w:sz w:val="28"/>
          <w:szCs w:val="28"/>
        </w:rPr>
      </w:pPr>
    </w:p>
    <w:p w14:paraId="2911EBD4" w14:textId="77777777" w:rsidR="0059259D" w:rsidRDefault="0059259D" w:rsidP="0059259D">
      <w:pPr>
        <w:rPr>
          <w:b/>
          <w:bCs/>
          <w:sz w:val="28"/>
          <w:szCs w:val="28"/>
        </w:rPr>
      </w:pPr>
    </w:p>
    <w:p w14:paraId="2F90F6AA" w14:textId="77777777" w:rsidR="0059259D" w:rsidRDefault="0059259D" w:rsidP="0059259D">
      <w:pPr>
        <w:rPr>
          <w:b/>
          <w:bCs/>
          <w:sz w:val="28"/>
          <w:szCs w:val="28"/>
        </w:rPr>
      </w:pPr>
    </w:p>
    <w:p w14:paraId="675398A5" w14:textId="77777777" w:rsidR="0059259D" w:rsidRDefault="0059259D" w:rsidP="0059259D">
      <w:pPr>
        <w:rPr>
          <w:b/>
          <w:bCs/>
          <w:sz w:val="28"/>
          <w:szCs w:val="28"/>
        </w:rPr>
      </w:pPr>
    </w:p>
    <w:p w14:paraId="0D13D753" w14:textId="77777777" w:rsidR="0059259D" w:rsidRDefault="0059259D" w:rsidP="0059259D">
      <w:pPr>
        <w:rPr>
          <w:b/>
          <w:bCs/>
          <w:sz w:val="28"/>
          <w:szCs w:val="28"/>
        </w:rPr>
      </w:pPr>
    </w:p>
    <w:p w14:paraId="4D383569" w14:textId="77777777" w:rsidR="0059259D" w:rsidRDefault="0059259D" w:rsidP="0059259D">
      <w:pPr>
        <w:rPr>
          <w:b/>
          <w:bCs/>
          <w:sz w:val="28"/>
          <w:szCs w:val="28"/>
        </w:rPr>
      </w:pPr>
    </w:p>
    <w:p w14:paraId="0065E812" w14:textId="77777777" w:rsidR="0059259D" w:rsidRDefault="0059259D" w:rsidP="0059259D">
      <w:pPr>
        <w:rPr>
          <w:b/>
          <w:bCs/>
          <w:sz w:val="28"/>
          <w:szCs w:val="28"/>
        </w:rPr>
      </w:pPr>
    </w:p>
    <w:p w14:paraId="6084B5BB" w14:textId="77777777" w:rsidR="0059259D" w:rsidRDefault="0059259D" w:rsidP="0059259D">
      <w:pPr>
        <w:rPr>
          <w:b/>
          <w:bCs/>
          <w:sz w:val="28"/>
          <w:szCs w:val="28"/>
        </w:rPr>
      </w:pPr>
    </w:p>
    <w:p w14:paraId="5E3CB3CE" w14:textId="77777777" w:rsidR="0059259D" w:rsidRDefault="0059259D" w:rsidP="0059259D">
      <w:pPr>
        <w:rPr>
          <w:b/>
          <w:bCs/>
          <w:sz w:val="28"/>
          <w:szCs w:val="28"/>
        </w:rPr>
      </w:pPr>
    </w:p>
    <w:p w14:paraId="59CACB23" w14:textId="77777777" w:rsidR="0059259D" w:rsidRDefault="0059259D" w:rsidP="0059259D">
      <w:pPr>
        <w:rPr>
          <w:b/>
          <w:bCs/>
          <w:sz w:val="28"/>
          <w:szCs w:val="28"/>
        </w:rPr>
      </w:pPr>
    </w:p>
    <w:p w14:paraId="53DFEDBB" w14:textId="77777777" w:rsidR="0059259D" w:rsidRDefault="0059259D" w:rsidP="0059259D">
      <w:pPr>
        <w:rPr>
          <w:b/>
          <w:bCs/>
          <w:sz w:val="28"/>
          <w:szCs w:val="28"/>
        </w:rPr>
      </w:pPr>
    </w:p>
    <w:p w14:paraId="50B00DFA" w14:textId="1E5879AD" w:rsidR="0059259D" w:rsidRDefault="0059259D" w:rsidP="0059259D">
      <w:pPr>
        <w:rPr>
          <w:b/>
          <w:bCs/>
          <w:sz w:val="28"/>
          <w:szCs w:val="28"/>
        </w:rPr>
      </w:pPr>
    </w:p>
    <w:p w14:paraId="4340A3B6" w14:textId="21D549FF" w:rsidR="00DA071C" w:rsidRDefault="00DA071C" w:rsidP="0059259D">
      <w:pPr>
        <w:rPr>
          <w:b/>
          <w:bCs/>
          <w:sz w:val="28"/>
          <w:szCs w:val="28"/>
        </w:rPr>
      </w:pPr>
    </w:p>
    <w:p w14:paraId="0C380930" w14:textId="77777777" w:rsidR="0059259D" w:rsidRPr="0059259D" w:rsidRDefault="0059259D" w:rsidP="0059259D">
      <w:pPr>
        <w:pStyle w:val="Default"/>
        <w:spacing w:after="36"/>
        <w:jc w:val="center"/>
        <w:rPr>
          <w:b/>
          <w:sz w:val="28"/>
          <w:szCs w:val="28"/>
        </w:rPr>
      </w:pPr>
      <w:r w:rsidRPr="0059259D">
        <w:rPr>
          <w:b/>
          <w:sz w:val="28"/>
          <w:szCs w:val="28"/>
        </w:rPr>
        <w:lastRenderedPageBreak/>
        <w:t>1.Введение</w:t>
      </w:r>
    </w:p>
    <w:p w14:paraId="5CC52916" w14:textId="77777777" w:rsidR="0059259D" w:rsidRPr="00DA071C" w:rsidRDefault="0059259D" w:rsidP="00E00BFE">
      <w:pPr>
        <w:pStyle w:val="Default"/>
        <w:spacing w:after="36"/>
        <w:ind w:firstLine="426"/>
        <w:jc w:val="both"/>
      </w:pPr>
      <w:r w:rsidRPr="00E00BFE">
        <w:t>1.1</w:t>
      </w:r>
      <w:r w:rsidRPr="0059259D">
        <w:rPr>
          <w:sz w:val="28"/>
          <w:szCs w:val="28"/>
        </w:rPr>
        <w:t xml:space="preserve">. </w:t>
      </w:r>
      <w:r w:rsidRPr="00DA071C">
        <w:t xml:space="preserve">Настоящий стандарт устанавливает требования Некоммерческой организации «Фонд развития промышленности Красноярского края» (далее - Фонд) к обеспечению возврата средств, предоставленных в соответствии с договорами Займа по проектам, отобранным для финансовой поддержки в соответствии с целями Фонда. </w:t>
      </w:r>
    </w:p>
    <w:p w14:paraId="12C6291B" w14:textId="49497B63" w:rsidR="0059259D" w:rsidRPr="00DA071C" w:rsidRDefault="0059259D" w:rsidP="00E00BFE">
      <w:pPr>
        <w:pStyle w:val="Default"/>
        <w:spacing w:after="36"/>
        <w:ind w:firstLine="426"/>
        <w:jc w:val="both"/>
      </w:pPr>
      <w:r w:rsidRPr="00DA071C">
        <w:t>1.2. Стандарт разработан с целью достижения эффективности использования и гарантирования возвратности полученных Фондом бюджетных средств</w:t>
      </w:r>
      <w:r w:rsidR="001870EA" w:rsidRPr="00DA071C">
        <w:t>,</w:t>
      </w:r>
      <w:r w:rsidR="001870EA" w:rsidRPr="00DA071C">
        <w:rPr>
          <w:rFonts w:ascii="Arial" w:eastAsia="Arial" w:hAnsi="Arial"/>
        </w:rPr>
        <w:t xml:space="preserve"> </w:t>
      </w:r>
      <w:r w:rsidR="001870EA" w:rsidRPr="00DA071C">
        <w:t>субсидии, а также средств, полученных при возврате Заемщиками выданных займов и уплаченных процентов, источником финансового обеспечения которых являлись средства субсидии</w:t>
      </w:r>
      <w:r w:rsidR="001870EA" w:rsidRPr="00DA071C">
        <w:rPr>
          <w:rFonts w:ascii="Arial" w:eastAsia="Arial" w:hAnsi="Arial"/>
        </w:rPr>
        <w:t xml:space="preserve">. </w:t>
      </w:r>
      <w:r w:rsidRPr="00DA071C">
        <w:t xml:space="preserve">Обеспечение позволяет минимизировать финансовые риски, связанные с невозвратом Заемщиком выданного Займа. </w:t>
      </w:r>
    </w:p>
    <w:p w14:paraId="0E5C6AF2" w14:textId="77777777" w:rsidR="0059259D" w:rsidRPr="0059259D" w:rsidRDefault="0059259D" w:rsidP="0059259D">
      <w:pPr>
        <w:pStyle w:val="Default"/>
        <w:jc w:val="both"/>
        <w:rPr>
          <w:sz w:val="28"/>
          <w:szCs w:val="28"/>
        </w:rPr>
      </w:pPr>
    </w:p>
    <w:p w14:paraId="0A7F6BAE" w14:textId="03E9C3A0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  <w:r w:rsidRPr="0059259D">
        <w:rPr>
          <w:b/>
          <w:bCs/>
          <w:sz w:val="28"/>
          <w:szCs w:val="28"/>
        </w:rPr>
        <w:t>2. Основные термины и определения</w:t>
      </w:r>
    </w:p>
    <w:p w14:paraId="5552BAAA" w14:textId="77777777" w:rsidR="0059259D" w:rsidRPr="00DA071C" w:rsidRDefault="0059259D" w:rsidP="003F6377">
      <w:pPr>
        <w:pStyle w:val="Default"/>
        <w:ind w:firstLine="567"/>
        <w:jc w:val="both"/>
      </w:pPr>
      <w:r w:rsidRPr="00DA071C">
        <w:rPr>
          <w:b/>
          <w:bCs/>
        </w:rPr>
        <w:t xml:space="preserve">Заем </w:t>
      </w:r>
      <w:r w:rsidRPr="00DA071C">
        <w:t xml:space="preserve">- целевой заем, предоставленный Фондом в качестве финансового обеспечения проектов субъектам деятельности в сфере промышленности. </w:t>
      </w:r>
    </w:p>
    <w:p w14:paraId="61CFFE65" w14:textId="77777777" w:rsidR="0059259D" w:rsidRPr="00DA071C" w:rsidRDefault="0059259D" w:rsidP="003F6377">
      <w:pPr>
        <w:pStyle w:val="Default"/>
        <w:ind w:firstLine="567"/>
        <w:jc w:val="both"/>
      </w:pPr>
      <w:r w:rsidRPr="00DA071C">
        <w:rPr>
          <w:b/>
          <w:bCs/>
        </w:rPr>
        <w:t xml:space="preserve">Заемщик </w:t>
      </w:r>
      <w:r w:rsidRPr="00DA071C">
        <w:t xml:space="preserve">- российский субъект деятельности в сфере промышленности, предоставивший документы в Фонд для участия в программах финансирования. </w:t>
      </w:r>
    </w:p>
    <w:p w14:paraId="035F6573" w14:textId="23D38032" w:rsidR="0059259D" w:rsidRPr="00DA071C" w:rsidRDefault="0059259D" w:rsidP="003F6377">
      <w:pPr>
        <w:pStyle w:val="Default"/>
        <w:ind w:firstLine="567"/>
        <w:jc w:val="both"/>
      </w:pPr>
      <w:r w:rsidRPr="00DA071C">
        <w:rPr>
          <w:b/>
          <w:bCs/>
        </w:rPr>
        <w:t xml:space="preserve">Залогодатель </w:t>
      </w:r>
      <w:r w:rsidRPr="00DA071C">
        <w:t>- заемщик или третье лицо (физическое</w:t>
      </w:r>
      <w:r w:rsidR="003F6377" w:rsidRPr="00DA071C">
        <w:t xml:space="preserve"> </w:t>
      </w:r>
      <w:r w:rsidRPr="00DA071C">
        <w:t>или юридическое</w:t>
      </w:r>
      <w:r w:rsidR="003F6377" w:rsidRPr="00DA071C">
        <w:t>)</w:t>
      </w:r>
      <w:r w:rsidRPr="00DA071C">
        <w:t>,</w:t>
      </w:r>
      <w:r w:rsidR="003F6377" w:rsidRPr="00DA071C">
        <w:t xml:space="preserve"> </w:t>
      </w:r>
      <w:r w:rsidRPr="00DA071C">
        <w:t xml:space="preserve">которому принадлежит имущество, предоставленное в качестве залога в обеспечение обязательств по договору Займа. </w:t>
      </w:r>
    </w:p>
    <w:p w14:paraId="7DC3B0CF" w14:textId="77777777" w:rsidR="0059259D" w:rsidRPr="00DA071C" w:rsidRDefault="0059259D" w:rsidP="003F6377">
      <w:pPr>
        <w:pStyle w:val="Default"/>
        <w:ind w:firstLine="567"/>
        <w:jc w:val="both"/>
      </w:pPr>
      <w:r w:rsidRPr="00DA071C">
        <w:rPr>
          <w:b/>
          <w:bCs/>
        </w:rPr>
        <w:t xml:space="preserve">Поручитель </w:t>
      </w:r>
      <w:r w:rsidRPr="00DA071C">
        <w:t xml:space="preserve">- физическое или юридическое лицо, обязавшееся перед Фондом отвечать за исполнение Заемщиком его обязательств полностью или в части по договору Займа. </w:t>
      </w:r>
    </w:p>
    <w:p w14:paraId="5762F2B4" w14:textId="77777777" w:rsidR="0059259D" w:rsidRPr="00DA071C" w:rsidRDefault="0059259D" w:rsidP="003F6377">
      <w:pPr>
        <w:pStyle w:val="Default"/>
        <w:ind w:firstLine="567"/>
        <w:jc w:val="both"/>
      </w:pPr>
      <w:r w:rsidRPr="00DA071C">
        <w:rPr>
          <w:b/>
          <w:bCs/>
        </w:rPr>
        <w:t xml:space="preserve">Гарант </w:t>
      </w:r>
      <w:r w:rsidRPr="00DA071C">
        <w:t xml:space="preserve">-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 </w:t>
      </w:r>
    </w:p>
    <w:p w14:paraId="0A05C6D3" w14:textId="77777777" w:rsidR="0059259D" w:rsidRPr="00DA071C" w:rsidRDefault="0059259D" w:rsidP="003F6377">
      <w:pPr>
        <w:pStyle w:val="Default"/>
        <w:ind w:firstLine="567"/>
        <w:jc w:val="both"/>
      </w:pPr>
      <w:r w:rsidRPr="00DA071C">
        <w:rPr>
          <w:b/>
          <w:bCs/>
        </w:rPr>
        <w:t xml:space="preserve">Залоговая стоимость </w:t>
      </w:r>
      <w:r w:rsidRPr="00DA071C">
        <w:t xml:space="preserve">-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 </w:t>
      </w:r>
    </w:p>
    <w:p w14:paraId="6A44A133" w14:textId="5B667BD7" w:rsidR="0059259D" w:rsidRPr="00DA071C" w:rsidRDefault="0059259D" w:rsidP="000478A9">
      <w:pPr>
        <w:pStyle w:val="Default"/>
        <w:ind w:firstLine="709"/>
        <w:jc w:val="both"/>
      </w:pPr>
      <w:r w:rsidRPr="00DA071C">
        <w:rPr>
          <w:b/>
          <w:bCs/>
        </w:rPr>
        <w:t xml:space="preserve">Обеспечение </w:t>
      </w:r>
      <w:r w:rsidRPr="00DA071C">
        <w:t xml:space="preserve">- установленные законодательством способы обеспечения исполнения обязательств Заемщика по договору займа, предоставленного Фондом в качестве финансирования проектов, и предусмотренные соответствующим договором с Заемщиком, включая залог, поручительство, независимую гарантию и другие виды. </w:t>
      </w:r>
    </w:p>
    <w:p w14:paraId="05A9D28E" w14:textId="44F61090" w:rsidR="00E65341" w:rsidRPr="00DA071C" w:rsidRDefault="00E65341" w:rsidP="003F6377">
      <w:pPr>
        <w:spacing w:after="0" w:line="248" w:lineRule="auto"/>
        <w:ind w:left="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обеспечения – </w:t>
      </w:r>
      <w:r w:rsidRPr="00DA071C">
        <w:rPr>
          <w:rFonts w:ascii="Times New Roman" w:hAnsi="Times New Roman" w:cs="Times New Roman"/>
          <w:color w:val="000000"/>
          <w:sz w:val="24"/>
          <w:szCs w:val="24"/>
        </w:rPr>
        <w:t>соответствие его требованиям, установленным для конкретного вида обеспечения в отношении устойчивости финансового состояния лица, предоставившего обеспечение, условий поручительства/гарантии (</w:t>
      </w:r>
      <w:proofErr w:type="spellStart"/>
      <w:r w:rsidRPr="00DA071C">
        <w:rPr>
          <w:rFonts w:ascii="Times New Roman" w:hAnsi="Times New Roman" w:cs="Times New Roman"/>
          <w:color w:val="000000"/>
          <w:sz w:val="24"/>
          <w:szCs w:val="24"/>
        </w:rPr>
        <w:t>безотзывность</w:t>
      </w:r>
      <w:proofErr w:type="spellEnd"/>
      <w:r w:rsidRPr="00DA071C">
        <w:rPr>
          <w:rFonts w:ascii="Times New Roman" w:hAnsi="Times New Roman" w:cs="Times New Roman"/>
          <w:color w:val="000000"/>
          <w:sz w:val="24"/>
          <w:szCs w:val="24"/>
        </w:rPr>
        <w:t>, солидарность, срок и иные существенные условия), наличия обременений и прав третьих лиц в отношении имущества, предоставленного в обеспечение, ликвидность.</w:t>
      </w:r>
    </w:p>
    <w:p w14:paraId="65E91FB4" w14:textId="77777777" w:rsidR="0059259D" w:rsidRPr="00DA071C" w:rsidRDefault="0059259D" w:rsidP="003F6377">
      <w:pPr>
        <w:pStyle w:val="Default"/>
        <w:ind w:firstLine="709"/>
        <w:jc w:val="both"/>
      </w:pPr>
      <w:r w:rsidRPr="00DA071C">
        <w:rPr>
          <w:b/>
          <w:bCs/>
        </w:rPr>
        <w:t xml:space="preserve">Независимая гарантия (гарантия) </w:t>
      </w:r>
      <w:r w:rsidRPr="00DA071C">
        <w:t xml:space="preserve">- 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 </w:t>
      </w:r>
    </w:p>
    <w:p w14:paraId="3B723819" w14:textId="77777777" w:rsidR="0059259D" w:rsidRPr="00DA071C" w:rsidRDefault="0059259D" w:rsidP="003F6377">
      <w:pPr>
        <w:pStyle w:val="Default"/>
        <w:ind w:firstLine="709"/>
        <w:jc w:val="both"/>
      </w:pPr>
      <w:r w:rsidRPr="00DA071C">
        <w:rPr>
          <w:b/>
          <w:bCs/>
        </w:rPr>
        <w:t xml:space="preserve">Последующий залог </w:t>
      </w:r>
      <w:r w:rsidRPr="00DA071C">
        <w:t>-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DA071C">
        <w:t>созалогодержатели</w:t>
      </w:r>
      <w:proofErr w:type="spellEnd"/>
      <w:r w:rsidRPr="00DA071C"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DA071C">
        <w:t>созалогодержатели</w:t>
      </w:r>
      <w:proofErr w:type="spellEnd"/>
      <w:r w:rsidRPr="00DA071C">
        <w:t xml:space="preserve"> являются самостоятельными кредиторами. </w:t>
      </w:r>
    </w:p>
    <w:p w14:paraId="27DEECA7" w14:textId="77777777" w:rsidR="0059259D" w:rsidRPr="00DA071C" w:rsidRDefault="0059259D" w:rsidP="003F6377">
      <w:pPr>
        <w:pStyle w:val="Default"/>
        <w:ind w:firstLine="709"/>
        <w:jc w:val="both"/>
      </w:pPr>
      <w:r w:rsidRPr="00DA071C">
        <w:rPr>
          <w:b/>
          <w:bCs/>
        </w:rPr>
        <w:t xml:space="preserve">Фонд </w:t>
      </w:r>
      <w:r w:rsidRPr="00DA071C">
        <w:t xml:space="preserve">- Некоммерческая организация «Фонд развития промышленности Красноярского края». </w:t>
      </w:r>
    </w:p>
    <w:p w14:paraId="2E2986C7" w14:textId="7590007D" w:rsidR="0059259D" w:rsidRPr="00DA071C" w:rsidRDefault="0059259D" w:rsidP="003F6377">
      <w:pPr>
        <w:pStyle w:val="Default"/>
        <w:ind w:firstLine="709"/>
        <w:jc w:val="both"/>
      </w:pPr>
      <w:r w:rsidRPr="00DA071C">
        <w:rPr>
          <w:b/>
          <w:bCs/>
        </w:rPr>
        <w:lastRenderedPageBreak/>
        <w:t xml:space="preserve">Экспертный совет </w:t>
      </w:r>
      <w:r w:rsidRPr="00DA071C">
        <w:t>- комиссия, к компетенции которой относится принятие решения о предоставлении финансовой поддержки субъектам деятельности в сфере промышленности</w:t>
      </w:r>
      <w:r w:rsidR="00DA071C">
        <w:t>.</w:t>
      </w:r>
      <w:r w:rsidRPr="00DA071C">
        <w:t xml:space="preserve"> </w:t>
      </w:r>
    </w:p>
    <w:p w14:paraId="0A245E68" w14:textId="77777777" w:rsidR="0059259D" w:rsidRDefault="0059259D" w:rsidP="0059259D">
      <w:pPr>
        <w:pStyle w:val="Default"/>
        <w:jc w:val="center"/>
        <w:rPr>
          <w:b/>
          <w:bCs/>
          <w:sz w:val="28"/>
          <w:szCs w:val="28"/>
        </w:rPr>
      </w:pPr>
    </w:p>
    <w:p w14:paraId="304674A7" w14:textId="77777777" w:rsidR="0059259D" w:rsidRPr="0059259D" w:rsidRDefault="0059259D" w:rsidP="0059259D">
      <w:pPr>
        <w:pStyle w:val="Default"/>
        <w:jc w:val="center"/>
        <w:rPr>
          <w:sz w:val="28"/>
          <w:szCs w:val="28"/>
        </w:rPr>
      </w:pPr>
      <w:r w:rsidRPr="0059259D">
        <w:rPr>
          <w:b/>
          <w:bCs/>
          <w:sz w:val="28"/>
          <w:szCs w:val="28"/>
        </w:rPr>
        <w:t>3. Виды используемого фондом обеспечения</w:t>
      </w:r>
    </w:p>
    <w:p w14:paraId="0D5169D3" w14:textId="77777777" w:rsidR="0059259D" w:rsidRPr="00E00BFE" w:rsidRDefault="0059259D" w:rsidP="00E00BFE">
      <w:pPr>
        <w:pStyle w:val="Default"/>
        <w:spacing w:after="39"/>
        <w:ind w:firstLine="567"/>
        <w:jc w:val="both"/>
      </w:pPr>
      <w:r w:rsidRPr="0059259D">
        <w:rPr>
          <w:sz w:val="28"/>
          <w:szCs w:val="28"/>
        </w:rPr>
        <w:t xml:space="preserve">3.1. </w:t>
      </w:r>
      <w:r w:rsidRPr="00E00BFE">
        <w:t xml:space="preserve">Обеспечение, принимаемое Фондом по финансируемым проектам, оценивается на предмет достаточности и качества. </w:t>
      </w:r>
    </w:p>
    <w:p w14:paraId="0755867E" w14:textId="16EC5D08" w:rsidR="0059259D" w:rsidRPr="00E00BFE" w:rsidRDefault="0059259D" w:rsidP="00E00BFE">
      <w:pPr>
        <w:pStyle w:val="Default"/>
        <w:spacing w:after="39"/>
        <w:ind w:firstLine="567"/>
        <w:jc w:val="both"/>
      </w:pPr>
      <w:r w:rsidRPr="00E00BFE">
        <w:t xml:space="preserve">3.2. Качество обеспечения определяется вероятностью получения денежных средств в размере залоговой стоимости при обращении взыскания на предмет залога и/или его реализации. При оценке качества обеспечения учитываются ликвидность обеспечения (определяется в зависимости от прогнозируемого срока реализации актива на свободном рынке по рыночной стоимости), отсутствие/наличие обременений, состояние активов, их сохранность, значимость активов для бизнеса Заемщика/Залогодателя, возможность контроля за залогом со стороны Фонда. </w:t>
      </w:r>
    </w:p>
    <w:p w14:paraId="77154425" w14:textId="77777777" w:rsidR="0059259D" w:rsidRPr="00E00BFE" w:rsidRDefault="0059259D" w:rsidP="00E00BFE">
      <w:pPr>
        <w:pStyle w:val="Default"/>
        <w:ind w:firstLine="567"/>
        <w:jc w:val="both"/>
      </w:pPr>
      <w:r w:rsidRPr="00E00BFE">
        <w:t>3.3. По результатам проведенной оценки качества обеспечение по финансируемым Фондом проектам относится к «Основному обеспечению» или «Дополнительному обеспечению».</w:t>
      </w:r>
    </w:p>
    <w:p w14:paraId="5B7B0E06" w14:textId="029F4267" w:rsidR="009058CE" w:rsidRPr="00E00BFE" w:rsidRDefault="0059259D" w:rsidP="00E00BFE">
      <w:pPr>
        <w:pStyle w:val="Default"/>
        <w:ind w:firstLine="567"/>
        <w:jc w:val="both"/>
      </w:pPr>
      <w:r w:rsidRPr="00E00BFE">
        <w:t xml:space="preserve">3.4. Имущество, принимаемое Фондом по финансируемым проектам в </w:t>
      </w:r>
      <w:r w:rsidR="009058CE" w:rsidRPr="00E00BFE">
        <w:t xml:space="preserve">качестве Основного обеспечения - залога, должно относиться к одной из следующих категорий: </w:t>
      </w:r>
    </w:p>
    <w:p w14:paraId="1AD5E229" w14:textId="77777777" w:rsidR="009058CE" w:rsidRPr="00E00BFE" w:rsidRDefault="009058CE" w:rsidP="00E00BFE">
      <w:pPr>
        <w:pStyle w:val="Default"/>
        <w:spacing w:after="50"/>
        <w:ind w:firstLine="567"/>
        <w:jc w:val="both"/>
      </w:pPr>
      <w:r w:rsidRPr="00E00BFE">
        <w:rPr>
          <w:rFonts w:ascii="Arial" w:hAnsi="Arial" w:cs="Arial"/>
        </w:rPr>
        <w:t xml:space="preserve">• </w:t>
      </w:r>
      <w:r w:rsidRPr="00E00BFE">
        <w:t xml:space="preserve">ликвидным активам: активы, на которые Фонд может обратить взыскание в приемлемые сроки (срок реализации активов составляет менее 365 дней); </w:t>
      </w:r>
    </w:p>
    <w:p w14:paraId="1A51FA8A" w14:textId="77777777" w:rsidR="009058CE" w:rsidRPr="00E00BFE" w:rsidRDefault="009058CE" w:rsidP="00E00BFE">
      <w:pPr>
        <w:pStyle w:val="Default"/>
        <w:ind w:firstLine="567"/>
        <w:jc w:val="both"/>
      </w:pPr>
      <w:bookmarkStart w:id="1" w:name="_Hlk104215051"/>
      <w:r w:rsidRPr="00E00BFE">
        <w:rPr>
          <w:rFonts w:ascii="Arial" w:hAnsi="Arial" w:cs="Arial"/>
        </w:rPr>
        <w:t>•</w:t>
      </w:r>
      <w:bookmarkEnd w:id="1"/>
      <w:r w:rsidRPr="00E00BFE">
        <w:rPr>
          <w:rFonts w:ascii="Arial" w:hAnsi="Arial" w:cs="Arial"/>
        </w:rPr>
        <w:t xml:space="preserve"> </w:t>
      </w:r>
      <w:r w:rsidRPr="00E00BFE">
        <w:t xml:space="preserve">значимым активам: </w:t>
      </w:r>
    </w:p>
    <w:p w14:paraId="36397B71" w14:textId="314BC7B4" w:rsidR="00E00BFE" w:rsidRPr="00E00BFE" w:rsidRDefault="00E00BFE" w:rsidP="00E00BFE">
      <w:pPr>
        <w:pStyle w:val="Default"/>
        <w:spacing w:after="50"/>
        <w:ind w:firstLine="567"/>
        <w:jc w:val="both"/>
      </w:pPr>
      <w:r w:rsidRPr="00E00BFE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058CE" w:rsidRPr="00E00BFE">
        <w:t xml:space="preserve">профильные ключевые активы Заемщика/Залогодателя, изъятие которых приведет к прекращению его деятельности или деятельности независимых бизнес-единиц, приносящих доход; </w:t>
      </w:r>
    </w:p>
    <w:p w14:paraId="28C695D2" w14:textId="2DE34632" w:rsidR="00E00BFE" w:rsidRPr="00E00BFE" w:rsidRDefault="00E00BFE" w:rsidP="00E00BFE">
      <w:pPr>
        <w:pStyle w:val="Default"/>
        <w:spacing w:after="50"/>
        <w:ind w:firstLine="567"/>
        <w:jc w:val="both"/>
      </w:pPr>
      <w:r w:rsidRPr="00E00BFE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058CE" w:rsidRPr="00E00BFE">
        <w:t xml:space="preserve">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будущем ожидается получение дохода; непрофильные активы, являющиеся автономными структурными единицами, способными самостоятельно приносить доход; </w:t>
      </w:r>
    </w:p>
    <w:p w14:paraId="56054A16" w14:textId="1A53345E" w:rsidR="009058CE" w:rsidRPr="00E00BFE" w:rsidRDefault="00E00BFE" w:rsidP="00E00BFE">
      <w:pPr>
        <w:pStyle w:val="Default"/>
        <w:spacing w:after="50"/>
        <w:ind w:firstLine="567"/>
        <w:jc w:val="both"/>
        <w:rPr>
          <w:rFonts w:ascii="Arial" w:hAnsi="Arial" w:cs="Arial"/>
        </w:rPr>
      </w:pPr>
      <w:r w:rsidRPr="00E00BFE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058CE" w:rsidRPr="00E00BFE">
        <w:t>для Залогодателей-физических лиц значимыми могут быть признаны активы в виде жилой недвижимости и автотранспорта</w:t>
      </w:r>
      <w:r w:rsidR="009058CE" w:rsidRPr="00E00BFE">
        <w:rPr>
          <w:rFonts w:ascii="Arial" w:hAnsi="Arial" w:cs="Arial"/>
        </w:rPr>
        <w:t xml:space="preserve">. </w:t>
      </w:r>
    </w:p>
    <w:p w14:paraId="23F8128C" w14:textId="77777777" w:rsidR="009058CE" w:rsidRPr="00E00BFE" w:rsidRDefault="009058CE" w:rsidP="00E00BFE">
      <w:pPr>
        <w:pStyle w:val="Default"/>
        <w:ind w:firstLine="567"/>
        <w:jc w:val="both"/>
      </w:pPr>
      <w:r w:rsidRPr="00E00BFE">
        <w:t xml:space="preserve">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организаций. </w:t>
      </w:r>
    </w:p>
    <w:p w14:paraId="4B9B1A7A" w14:textId="224C950A" w:rsidR="009058CE" w:rsidRPr="00E00BFE" w:rsidRDefault="009058CE" w:rsidP="00E00BFE">
      <w:pPr>
        <w:pStyle w:val="Default"/>
        <w:ind w:firstLine="567"/>
        <w:jc w:val="both"/>
      </w:pPr>
      <w:r w:rsidRPr="00E00BFE">
        <w:t>Виды Основного обеспечения, принимаемого Фондом по финансируемым проектам, приведены в Приложении № 1, требования к качеству Основного обеспечения (включая критерии оценки устойчивости финансового положения кредитных организаций и юридических лиц, дисконты, применяемые для определения залоговой стоимости Обеспечения по Займу)</w:t>
      </w:r>
      <w:r w:rsidR="005C06FC">
        <w:t>.</w:t>
      </w:r>
    </w:p>
    <w:p w14:paraId="59F1B45C" w14:textId="4913FAD4" w:rsidR="009058CE" w:rsidRPr="00E00BFE" w:rsidRDefault="009058CE" w:rsidP="00E00BFE">
      <w:pPr>
        <w:pStyle w:val="Default"/>
        <w:ind w:firstLine="567"/>
        <w:jc w:val="both"/>
      </w:pPr>
      <w:r w:rsidRPr="00E00BFE">
        <w:t>При рассмотрении вопросов о принятии производственных активов в виде недвижимого и движимого имущества и их отнесении к Основному обеспечению учитываются наличие/отсутствие между ними технологических, организационных, экономических, производственных и иных взаимосвязей с точки зрения общего назначения и реализации определенных целей (активы, составляющие имущественные комплексы, а также ключевые активы, составляющие большую часть имущественных комплексов или его автономную часть).</w:t>
      </w:r>
    </w:p>
    <w:p w14:paraId="28A100D2" w14:textId="77777777" w:rsidR="009058CE" w:rsidRPr="00E00BFE" w:rsidRDefault="009058CE" w:rsidP="00E30FF7">
      <w:pPr>
        <w:pStyle w:val="Default"/>
        <w:ind w:firstLine="567"/>
        <w:jc w:val="both"/>
      </w:pPr>
      <w:r w:rsidRPr="00E00BFE">
        <w:t xml:space="preserve">3.5. Основное обеспечение учитывается при оценке достаточности обеспечения по финансируемым Фондом проектам. </w:t>
      </w:r>
    </w:p>
    <w:p w14:paraId="2D8ED7AA" w14:textId="7E853616" w:rsidR="009058CE" w:rsidRPr="00E30FF7" w:rsidRDefault="009058CE" w:rsidP="00E30FF7">
      <w:pPr>
        <w:pStyle w:val="Default"/>
        <w:ind w:firstLine="567"/>
        <w:jc w:val="both"/>
      </w:pPr>
      <w:r w:rsidRPr="00E00BFE">
        <w:lastRenderedPageBreak/>
        <w:t>3.6. Дополнительное обеспечение используется Фондом в целях усиления структуры сделки с точки зрения возможности реализации Основного обеспечения, влияния на бизнес Заемщиков/Залогодателей/Поручителей,</w:t>
      </w:r>
      <w:r w:rsidR="00E30FF7">
        <w:t xml:space="preserve"> </w:t>
      </w:r>
      <w:r w:rsidRPr="00E00BFE">
        <w:t>повышения ответственности и заинтересованности собственников/конечных бенефициаров в реализации проекта. Виды Дополнительного обеспечения,</w:t>
      </w:r>
      <w:r w:rsidRPr="00E00BFE">
        <w:rPr>
          <w:color w:val="auto"/>
        </w:rPr>
        <w:t xml:space="preserve"> принимаемого Фондом по финансируемым проектам, </w:t>
      </w:r>
      <w:r w:rsidRPr="00E30FF7">
        <w:t>приведены в Приложении № 2.</w:t>
      </w:r>
    </w:p>
    <w:p w14:paraId="5BF46827" w14:textId="77777777" w:rsidR="009058CE" w:rsidRPr="00E00BFE" w:rsidRDefault="009058CE" w:rsidP="00E30FF7">
      <w:pPr>
        <w:pStyle w:val="Default"/>
        <w:ind w:firstLine="567"/>
        <w:jc w:val="both"/>
      </w:pPr>
      <w:r w:rsidRPr="00E00BFE">
        <w:t xml:space="preserve">3.7. Виды Основного обеспечения могут быть приняты и в качестве Дополнительного обеспечения. Виды Дополнительного обеспечения не подлежат принятию в качестве Основного обеспечения. </w:t>
      </w:r>
    </w:p>
    <w:p w14:paraId="4A4C8060" w14:textId="77777777" w:rsidR="009058CE" w:rsidRPr="00E00BFE" w:rsidRDefault="009058CE" w:rsidP="00E30FF7">
      <w:pPr>
        <w:pStyle w:val="Default"/>
        <w:ind w:firstLine="567"/>
        <w:jc w:val="both"/>
      </w:pPr>
      <w:r w:rsidRPr="00E00BFE">
        <w:t xml:space="preserve">3.8. При рассмотрении возможности принятия в качестве Обеспечения имущества, учитываются законодательные запреты на совершение сделок залога с отдельными видами имущества. </w:t>
      </w:r>
    </w:p>
    <w:p w14:paraId="73E5C567" w14:textId="5EB88AB0" w:rsidR="009058CE" w:rsidRPr="00E00BFE" w:rsidRDefault="009058CE" w:rsidP="00E30FF7">
      <w:pPr>
        <w:pStyle w:val="Default"/>
        <w:ind w:firstLine="567"/>
        <w:jc w:val="both"/>
      </w:pPr>
      <w:r w:rsidRPr="00E00BFE">
        <w:t xml:space="preserve">3.9. Фонд не принимает в качестве обеспечения охраняемые результаты интеллектуальной деятельности и приравненные к ним средства индивидуализации (интеллектуальную собственность). </w:t>
      </w:r>
      <w:r w:rsidR="00CD1D3A" w:rsidRPr="00E00BFE">
        <w:t>Виды имущества, не принимаемого Фондом в качестве Обеспечения, приведены в приложении №3.</w:t>
      </w:r>
    </w:p>
    <w:p w14:paraId="3287FA70" w14:textId="410EF0D3" w:rsidR="006B2046" w:rsidRPr="00E00BFE" w:rsidRDefault="006B2046" w:rsidP="00E30FF7">
      <w:pPr>
        <w:pStyle w:val="Default"/>
        <w:ind w:firstLine="567"/>
        <w:jc w:val="both"/>
      </w:pPr>
      <w:r w:rsidRPr="00E00BFE">
        <w:t>3.1</w:t>
      </w:r>
      <w:r w:rsidR="00CD1D3A" w:rsidRPr="00E00BFE">
        <w:t>0</w:t>
      </w:r>
      <w:r w:rsidRPr="00E00BFE">
        <w:t xml:space="preserve">. Принимаемое в залог имущество не должно находиться под арестом. </w:t>
      </w:r>
    </w:p>
    <w:p w14:paraId="4EB3287F" w14:textId="402CD981" w:rsidR="00CD1D3A" w:rsidRPr="00E00BFE" w:rsidRDefault="006B2046" w:rsidP="00E30FF7">
      <w:pPr>
        <w:pStyle w:val="Default"/>
        <w:ind w:firstLine="567"/>
        <w:jc w:val="both"/>
      </w:pPr>
      <w:r w:rsidRPr="00E00BFE">
        <w:t>3.1</w:t>
      </w:r>
      <w:r w:rsidR="00CD1D3A" w:rsidRPr="00E00BFE">
        <w:t>1</w:t>
      </w:r>
      <w:r w:rsidRPr="00E00BFE">
        <w:t xml:space="preserve">. Последующий залог (имущество, обремененное залогом третьих лиц) допускается в качестве Дополнительного обеспечения. </w:t>
      </w:r>
    </w:p>
    <w:p w14:paraId="26750CF5" w14:textId="7EADA269" w:rsidR="005C06FC" w:rsidRPr="00E00BFE" w:rsidRDefault="00CD1D3A" w:rsidP="005C06FC">
      <w:pPr>
        <w:pStyle w:val="Default"/>
        <w:ind w:firstLine="567"/>
        <w:jc w:val="both"/>
      </w:pPr>
      <w:r w:rsidRPr="00E00BFE">
        <w:t>3.12.</w:t>
      </w:r>
      <w:r w:rsidRPr="00E00BFE">
        <w:rPr>
          <w:rFonts w:ascii="Arial" w:eastAsia="Arial" w:hAnsi="Arial"/>
        </w:rPr>
        <w:t xml:space="preserve"> </w:t>
      </w:r>
      <w:r w:rsidRPr="00E00BFE">
        <w:t>Передача в последующий залог имущества, принятого Фондом в качестве Основного обеспечения, допускается только в случае, если последующим залогодержателем выступают институты развития, осуществляющие совместно с Фондом финансирование проекта и/или предоставляющие обеспечение</w:t>
      </w:r>
      <w:r w:rsidR="005C06FC">
        <w:t xml:space="preserve">, </w:t>
      </w:r>
      <w:r w:rsidR="00007DEC">
        <w:t xml:space="preserve">утверждается </w:t>
      </w:r>
      <w:r w:rsidR="005C06FC">
        <w:t>Экспертным советом</w:t>
      </w:r>
      <w:r w:rsidRPr="00E00BFE">
        <w:t xml:space="preserve">. </w:t>
      </w:r>
    </w:p>
    <w:p w14:paraId="6FF2FFF9" w14:textId="254588FA" w:rsidR="006B2046" w:rsidRPr="00E00BFE" w:rsidRDefault="006B2046" w:rsidP="00E30FF7">
      <w:pPr>
        <w:pStyle w:val="Default"/>
        <w:ind w:firstLine="567"/>
        <w:jc w:val="both"/>
      </w:pPr>
      <w:r w:rsidRPr="00E00BFE">
        <w:t>3.1</w:t>
      </w:r>
      <w:r w:rsidR="00CD1D3A" w:rsidRPr="00E00BFE">
        <w:t>3</w:t>
      </w:r>
      <w:r w:rsidRPr="00E00BFE">
        <w:t xml:space="preserve">. На момент выдачи займа (принятия решения о финансировании проекта) обеспечение признается достаточным, если залоговая стоимость и/или объем гарантированных обязательств по независимой гарантии (поручительству), принимаемого в качестве Основного обеспечения, равна или превышает размер основного долга и подлежащих уплате за все время пользования займом процентов. </w:t>
      </w:r>
    </w:p>
    <w:p w14:paraId="5852E6C5" w14:textId="7CD8B98A" w:rsidR="006B2046" w:rsidRPr="00E00BFE" w:rsidRDefault="00C138A7" w:rsidP="00E00BFE">
      <w:pPr>
        <w:pStyle w:val="Default"/>
        <w:ind w:firstLine="567"/>
        <w:jc w:val="both"/>
      </w:pPr>
      <w:r w:rsidRPr="00E00BFE">
        <w:t>3.1</w:t>
      </w:r>
      <w:r w:rsidR="00471FAD" w:rsidRPr="00E00BFE">
        <w:t>4</w:t>
      </w:r>
      <w:r w:rsidR="006B2046" w:rsidRPr="00E00BFE">
        <w:t xml:space="preserve">. Залоговая стоимость определяется на основании оценочной (рыночной) стоимости с учетом требований п. 3.2 настоящего Стандарта с применением шкалы залоговых дисконтов, приведенной в Приложении № 1. </w:t>
      </w:r>
    </w:p>
    <w:p w14:paraId="6DA45C3D" w14:textId="1BF28DF1" w:rsidR="00BC0081" w:rsidRPr="00E00BFE" w:rsidRDefault="006B2046" w:rsidP="00E00BFE">
      <w:pPr>
        <w:pStyle w:val="Default"/>
        <w:ind w:firstLine="567"/>
        <w:jc w:val="both"/>
      </w:pPr>
      <w:r w:rsidRPr="00E00BFE">
        <w:t>В случае предоставления последующего залога имущества по вновь испрашиваемым займам, при различии залоговых дисконтов по действующим</w:t>
      </w:r>
      <w:r w:rsidR="00C138A7" w:rsidRPr="00E00BFE">
        <w:t xml:space="preserve"> займам, Фонд </w:t>
      </w:r>
      <w:r w:rsidR="00E30FF7">
        <w:t xml:space="preserve">применяет </w:t>
      </w:r>
      <w:r w:rsidR="00C138A7" w:rsidRPr="00E00BFE">
        <w:t>залоговые дисконты в соответствии с действующим на дату подачи заявки Стандартом Фонда. При этом расчет достаточности обеспечения по ранее выданным займам осуществляется в соответствии с дисконтами, действующими на дату подачи заявки по вновь испрашиваемым займам.</w:t>
      </w:r>
    </w:p>
    <w:p w14:paraId="4CF79739" w14:textId="57143FBF" w:rsidR="00C138A7" w:rsidRPr="00E00BFE" w:rsidRDefault="00BC0081" w:rsidP="00E00BFE">
      <w:pPr>
        <w:pStyle w:val="Default"/>
        <w:ind w:firstLine="567"/>
        <w:jc w:val="both"/>
      </w:pPr>
      <w:r w:rsidRPr="00E00BFE">
        <w:t>Все изменения, вносимые в договор займа и (или) договоры обеспечения, должны быть оформлены путем заключения дополнительных соглашений к соответствующим договорам.</w:t>
      </w:r>
    </w:p>
    <w:p w14:paraId="51713B93" w14:textId="326A30E2" w:rsidR="00BC0081" w:rsidRPr="00E00BFE" w:rsidRDefault="00C138A7" w:rsidP="00E00BFE">
      <w:pPr>
        <w:pStyle w:val="Default"/>
        <w:ind w:firstLine="567"/>
        <w:jc w:val="both"/>
      </w:pPr>
      <w:r w:rsidRPr="00E00BFE">
        <w:t>3.1</w:t>
      </w:r>
      <w:r w:rsidR="00471FAD" w:rsidRPr="00E00BFE">
        <w:t>5</w:t>
      </w:r>
      <w:r w:rsidRPr="00E00BFE">
        <w:t xml:space="preserve">. Оценочная (рыночная) стоимость залога определяется на основании отчетов оценочных компаний (без учета суммы НДС), за исключением драгоценных металлов, обязательственных прав (прав требования) по договорам (контрактам), а также оборудования, приобретаемого в рамках проекта/проектов за счет средств, предоставленных Фондом. Рыночная стоимость, определенная в отчете, принимается Фондом для целей совершения сделки в течение шести месяцев с даты составления отчета. </w:t>
      </w:r>
    </w:p>
    <w:p w14:paraId="00075664" w14:textId="77777777" w:rsidR="00BC0081" w:rsidRPr="00E00BFE" w:rsidRDefault="00BC0081" w:rsidP="00E00BFE">
      <w:pPr>
        <w:pStyle w:val="Default"/>
        <w:ind w:firstLine="567"/>
        <w:jc w:val="both"/>
      </w:pPr>
      <w:r w:rsidRPr="00E00BFE">
        <w:t xml:space="preserve">Оценочная стоимость предлагаемого в залог имущества, приобретаемого в процессе реализации проекта/проектов, не позднее 1 (одного) года с момента приобретения и оплачиваемого полностью или частично за счет средств, предоставленных Фондом, определяется по цене, указанной в договоре на его приобретение (за вычетом суммы НДС). </w:t>
      </w:r>
    </w:p>
    <w:p w14:paraId="28A03E97" w14:textId="34E1DAA2" w:rsidR="00DB4CBE" w:rsidRPr="00E00BFE" w:rsidRDefault="00BC0081" w:rsidP="00E00BFE">
      <w:pPr>
        <w:pStyle w:val="Default"/>
        <w:ind w:firstLine="567"/>
        <w:jc w:val="both"/>
      </w:pPr>
      <w:r w:rsidRPr="00E00BFE">
        <w:lastRenderedPageBreak/>
        <w:t>Оценочная стоимость обязательственных прав (прав требования) по договорам (контрактам) определяется на основании данных бухгалтерской отчетности Залогодателя и/или данных договора (контракта), права по которому передаются в залог.</w:t>
      </w:r>
      <w:r w:rsidR="00DB4CBE" w:rsidRPr="00E00BFE">
        <w:t xml:space="preserve"> </w:t>
      </w:r>
    </w:p>
    <w:p w14:paraId="268DFB14" w14:textId="5C06D81B" w:rsidR="00DB4CBE" w:rsidRPr="00E00BFE" w:rsidRDefault="00DB4CBE" w:rsidP="00E00BFE">
      <w:pPr>
        <w:pStyle w:val="Default"/>
        <w:ind w:firstLine="567"/>
        <w:jc w:val="both"/>
      </w:pPr>
      <w:r w:rsidRPr="00E00BFE">
        <w:t>3.1</w:t>
      </w:r>
      <w:r w:rsidR="0016071C" w:rsidRPr="00E00BFE">
        <w:t>6</w:t>
      </w:r>
      <w:r w:rsidRPr="00E00BFE">
        <w:t xml:space="preserve">. Фонд формирует перечень рекомендуемых оценочных компаний, оказывающих услуги по оценке имущества и иных активов. Оценка Обеспечения осуществляется за счет Заемщика, если иное не установлено стандартами Фонда. </w:t>
      </w:r>
    </w:p>
    <w:p w14:paraId="2FE5E809" w14:textId="77777777" w:rsidR="00DB4CBE" w:rsidRPr="00E00BFE" w:rsidRDefault="00DB4CBE" w:rsidP="00E00BFE">
      <w:pPr>
        <w:pStyle w:val="Default"/>
        <w:ind w:firstLine="567"/>
        <w:jc w:val="both"/>
      </w:pPr>
      <w:r w:rsidRPr="00E00BFE">
        <w:t xml:space="preserve">В целях сокращения временных затрат на рассмотрение вопросов, связанных с возможностью принятия отчетов оценщиков при финансировании Займов, Фонд рекомендует своим Заемщикам обращаться к оценочным компаниям, включенным в вышеуказанный перечень. Партнерство с оценочными компаниями, включенными в перечень, и обращение к ним осуществляется Заемщиком на добровольной основе. </w:t>
      </w:r>
    </w:p>
    <w:p w14:paraId="22037CD6" w14:textId="189A4309" w:rsidR="0027584C" w:rsidRPr="00E00BFE" w:rsidRDefault="00DB4CBE" w:rsidP="00E00BFE">
      <w:pPr>
        <w:pStyle w:val="Default"/>
        <w:ind w:firstLine="567"/>
        <w:jc w:val="both"/>
      </w:pPr>
      <w:r w:rsidRPr="00E00BFE">
        <w:t>Фонд оставляет за собой право при наличии в отчете об оценке грубых нарушений и злоупотреблений, допущенных оценочной компанией, не</w:t>
      </w:r>
      <w:r w:rsidR="0027584C" w:rsidRPr="00E00BFE">
        <w:t xml:space="preserve"> использовать результаты оценки для целей принятия обеспечения возврата Займа</w:t>
      </w:r>
      <w:r w:rsidR="00AE169A" w:rsidRPr="00E00BFE">
        <w:t>.</w:t>
      </w:r>
    </w:p>
    <w:p w14:paraId="7AD8CFDE" w14:textId="6D3D6B83" w:rsidR="0027584C" w:rsidRPr="00E00BFE" w:rsidRDefault="0027584C" w:rsidP="009B7217">
      <w:pPr>
        <w:pStyle w:val="Default"/>
        <w:ind w:firstLine="567"/>
        <w:jc w:val="both"/>
      </w:pPr>
      <w:r w:rsidRPr="00E00BFE">
        <w:t>3.1</w:t>
      </w:r>
      <w:r w:rsidR="0016071C" w:rsidRPr="00E00BFE">
        <w:t>7</w:t>
      </w:r>
      <w:r w:rsidRPr="00E00BFE">
        <w:t xml:space="preserve">. Решение о видах и объеме (изменении вида или объема) Обеспечения, отнесении его к Основному и/или Дополнительному по конкретным проектам, предлагаемым к финансированию, принимает Экспертный совет Фонда. </w:t>
      </w:r>
    </w:p>
    <w:p w14:paraId="6AAB6557" w14:textId="35EC512C" w:rsidR="0027584C" w:rsidRPr="00E00BFE" w:rsidRDefault="0027584C" w:rsidP="009B7217">
      <w:pPr>
        <w:pStyle w:val="Default"/>
        <w:ind w:firstLine="567"/>
        <w:jc w:val="both"/>
      </w:pPr>
      <w:r w:rsidRPr="00E00BFE">
        <w:t>3.</w:t>
      </w:r>
      <w:r w:rsidR="0016071C" w:rsidRPr="00E00BFE">
        <w:t>18</w:t>
      </w:r>
      <w:r w:rsidRPr="00E00BFE">
        <w:t>. Оформление Обеспечения осуществляется за счет Заемщика, включая расходы по нотариальному заверению, подтверждению подлинности гарантии, векселя, оплате услуг регистратора и т.п., исключая оплату госпошлины за регистрацию залога недвижимого имущества, которая уплачивается сторонами в равных долях</w:t>
      </w:r>
      <w:r w:rsidR="00AE169A" w:rsidRPr="00E00BFE">
        <w:t>.</w:t>
      </w:r>
    </w:p>
    <w:p w14:paraId="4C5BB7CF" w14:textId="77777777" w:rsidR="00D12E75" w:rsidRPr="00E00BFE" w:rsidRDefault="00D12E75" w:rsidP="009B7217">
      <w:pPr>
        <w:pStyle w:val="Default"/>
        <w:ind w:firstLine="567"/>
      </w:pPr>
    </w:p>
    <w:p w14:paraId="269A119C" w14:textId="554DF0CC" w:rsidR="00D12E75" w:rsidRDefault="00D12E75" w:rsidP="008D5C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Ковенанты</w:t>
      </w:r>
    </w:p>
    <w:p w14:paraId="7FA253CD" w14:textId="77777777" w:rsidR="00D12E75" w:rsidRPr="009B7217" w:rsidRDefault="00D12E75" w:rsidP="009B7217">
      <w:pPr>
        <w:pStyle w:val="Default"/>
        <w:ind w:firstLine="567"/>
        <w:jc w:val="both"/>
      </w:pPr>
      <w:r w:rsidRPr="009B7217">
        <w:t>4.1. В целях обеспечения возврата Займа Фонд в Договорах займа устанавливает ковенанты, которые могут быть типовыми и дополнительными.</w:t>
      </w:r>
    </w:p>
    <w:p w14:paraId="7229C08F" w14:textId="01B134AC" w:rsidR="00D12E75" w:rsidRPr="009B7217" w:rsidRDefault="00D12E75" w:rsidP="0083524B">
      <w:pPr>
        <w:pStyle w:val="Default"/>
        <w:ind w:firstLine="567"/>
        <w:jc w:val="both"/>
      </w:pPr>
      <w:r w:rsidRPr="009B7217">
        <w:t xml:space="preserve">Основная цель установления таких ограничений - снижение рисков невозврата средств, предоставленных в качестве финансовой поддержки проекта. </w:t>
      </w:r>
    </w:p>
    <w:p w14:paraId="4479ADA4" w14:textId="52DE6D39" w:rsidR="00D12E75" w:rsidRPr="009B7217" w:rsidRDefault="00D12E75" w:rsidP="009D1A71">
      <w:pPr>
        <w:pStyle w:val="Default"/>
        <w:ind w:firstLine="567"/>
        <w:jc w:val="both"/>
      </w:pPr>
      <w:r w:rsidRPr="009B7217">
        <w:t xml:space="preserve">4.2. Типовые ковенанты применяются для всех </w:t>
      </w:r>
      <w:proofErr w:type="gramStart"/>
      <w:r w:rsidRPr="009B7217">
        <w:t>Заемщиков</w:t>
      </w:r>
      <w:r w:rsidR="00FF0A3E" w:rsidRPr="009B7217">
        <w:t xml:space="preserve"> </w:t>
      </w:r>
      <w:r w:rsidRPr="009B7217">
        <w:t>в случае если</w:t>
      </w:r>
      <w:proofErr w:type="gramEnd"/>
      <w:r w:rsidRPr="009B7217">
        <w:t xml:space="preserve"> стандартом Фонда, определяющим условия и порядок отбора проектов для финансирования по соответствующей программе не установлено иное. </w:t>
      </w:r>
      <w:r w:rsidR="005B1E58">
        <w:t xml:space="preserve"> </w:t>
      </w:r>
      <w:r w:rsidRPr="009B7217">
        <w:t xml:space="preserve">В качестве типовых ковенант-оснований для досрочного истребования от Заемщика полного или частичного погашения задолженности по Займу, Фонд применяет следующие условия: </w:t>
      </w:r>
    </w:p>
    <w:p w14:paraId="0B0750D6" w14:textId="77777777" w:rsidR="00D12E75" w:rsidRPr="009B7217" w:rsidRDefault="00D12E75" w:rsidP="00EA1E96">
      <w:pPr>
        <w:pStyle w:val="Default"/>
        <w:spacing w:after="36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9B7217">
        <w:t xml:space="preserve">неисполнение или ненадлежащее исполнение Заемщиком обязательств перед Фондом по договору, в т.ч. несвоевременное/неполное исполнение денежных обязательств, несвоевременное предоставление отчетности, предоставление Фонду недостоверной отчетности, использование Займа (части Займа) не по целевому назначению; </w:t>
      </w:r>
    </w:p>
    <w:p w14:paraId="5E9854B0" w14:textId="30EA3626" w:rsidR="00D12E75" w:rsidRPr="009B7217" w:rsidRDefault="00D12E75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9B7217">
        <w:t xml:space="preserve">неисполнение Заемщиком более 30 календарных дней платежных обязательств в объеме (суммарно) более 10% балансовой стоимости активов Заемщика по кредитным договорам/договорам займа Заемщика с третьими лицами; </w:t>
      </w:r>
    </w:p>
    <w:p w14:paraId="14F5BFE1" w14:textId="77777777" w:rsidR="00D12E75" w:rsidRPr="009B7217" w:rsidRDefault="00EA1E96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 </w:t>
      </w:r>
      <w:r w:rsidR="00D12E75" w:rsidRPr="009B7217">
        <w:t>утрата/ухудшение Обеспечения исполнения обязательств по договору или условий такого Обеспечения (включая несоответствие требованию о достаточности</w:t>
      </w:r>
      <w:proofErr w:type="gramStart"/>
      <w:r w:rsidR="00D12E75" w:rsidRPr="009B7217">
        <w:t>), в случае, если</w:t>
      </w:r>
      <w:proofErr w:type="gramEnd"/>
      <w:r w:rsidR="00D12E75" w:rsidRPr="009B7217">
        <w:t xml:space="preserve"> Заемщик не предоставил иное Обеспечение в сроки, установленные настоящим стандартом; </w:t>
      </w:r>
    </w:p>
    <w:p w14:paraId="32CEC958" w14:textId="77777777" w:rsidR="00D12E75" w:rsidRPr="009B7217" w:rsidRDefault="00D12E75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9B7217">
        <w:t xml:space="preserve">принятие в отношении Заемщика/Лица, предоставившего обеспечение исполнения обязательств Заемщика по договору (поручителя, гаранта), органом управления такого Лица или уполномоченным государственным (муниципальным) органом решения о реорганизации (за исключением реорганизации в форме преобразования, присоединения, слияния); </w:t>
      </w:r>
    </w:p>
    <w:p w14:paraId="420F0E0F" w14:textId="2DEC9558" w:rsidR="00D12E75" w:rsidRPr="009B7217" w:rsidRDefault="00EA1E96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="00D12E75" w:rsidRPr="009B7217">
        <w:t xml:space="preserve">наличие вступившего в законную силу решения суда о взыскании денежных средств или об истребовании имущества Заемщика, если сумма иска (исков), составляет более 10% балансовой стоимости активов Заемщика; </w:t>
      </w:r>
    </w:p>
    <w:p w14:paraId="569B2E2A" w14:textId="77777777" w:rsidR="00D12E75" w:rsidRPr="009B7217" w:rsidRDefault="00D12E75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lastRenderedPageBreak/>
        <w:t xml:space="preserve">• </w:t>
      </w:r>
      <w:r w:rsidRPr="009B7217">
        <w:t xml:space="preserve">выявление Фондом факта предоставления Заемщиком недостоверной информации, заявлений или гарантий; </w:t>
      </w:r>
    </w:p>
    <w:p w14:paraId="1A46DD7F" w14:textId="77777777" w:rsidR="00D12E75" w:rsidRPr="009B7217" w:rsidRDefault="00D12E75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9B7217">
        <w:t xml:space="preserve">отмена, аннулирование, приостановление или иное ограничение в действии какого-либо разрешения или лицензии Заемщика и/или Лица (лиц), предоставившего обеспечение, которое препятствует должному исполнению или делает невозможным исполнение обязательств по возврату Займа или реализации Проекта; </w:t>
      </w:r>
    </w:p>
    <w:p w14:paraId="2BAC1B9E" w14:textId="77777777" w:rsidR="00D12E75" w:rsidRPr="009B7217" w:rsidRDefault="00D12E75" w:rsidP="009B7217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9B7217">
        <w:t>изменение контроля над Заемщиком без согласования с Фондом.</w:t>
      </w:r>
    </w:p>
    <w:p w14:paraId="5FE01193" w14:textId="77777777" w:rsidR="009D66D0" w:rsidRPr="009B7217" w:rsidRDefault="009D66D0" w:rsidP="009B7217">
      <w:pPr>
        <w:pStyle w:val="Default"/>
        <w:spacing w:after="36"/>
        <w:ind w:firstLine="709"/>
        <w:jc w:val="both"/>
      </w:pPr>
      <w:r w:rsidRPr="009B7217">
        <w:t xml:space="preserve">4.3. Дополнительные ковенанты-основания для досрочного истребования от Заемщика полного или частичного погашения задолженности по Займу, устанавливаются Фондом исходя из особенностей деятельности Заемщика и финансируемого проекта, а также иных факторов. </w:t>
      </w:r>
    </w:p>
    <w:p w14:paraId="320F28EB" w14:textId="77777777" w:rsidR="009D66D0" w:rsidRPr="009B7217" w:rsidRDefault="009D66D0" w:rsidP="009B7217">
      <w:pPr>
        <w:pStyle w:val="Default"/>
        <w:spacing w:after="36"/>
        <w:ind w:firstLine="709"/>
        <w:jc w:val="both"/>
      </w:pPr>
      <w:r w:rsidRPr="009B7217">
        <w:t xml:space="preserve">4.4. Решение о составе дополнительных ковенантов принимает Экспертный совет. </w:t>
      </w:r>
    </w:p>
    <w:p w14:paraId="7157C2A0" w14:textId="063E6AC7" w:rsidR="009D66D0" w:rsidRPr="009B7217" w:rsidRDefault="009D66D0" w:rsidP="009B7217">
      <w:pPr>
        <w:pStyle w:val="Default"/>
        <w:ind w:firstLine="709"/>
        <w:jc w:val="both"/>
      </w:pPr>
      <w:r w:rsidRPr="009B7217">
        <w:t xml:space="preserve">4.5. В сроки, определенные договором Займа, Заемщик обязан информировать Фонд об обстоятельствах, имеющих существенное значение для оценки финансово-экономического состояния Заемщика/лица, предоставившего обеспечение по займу, и его способности исполнять обязательства по Займу/предоставленному обеспечению: </w:t>
      </w:r>
    </w:p>
    <w:p w14:paraId="4ED27AFF" w14:textId="77777777" w:rsidR="009D66D0" w:rsidRPr="009B7217" w:rsidRDefault="009D66D0" w:rsidP="009D66D0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9B7217">
        <w:t xml:space="preserve">о возникшем в период предоставления Займа ограничении прав Заемщика в размере более 5% от суммы займа или балансовых активов Заемщика по распоряжению денежными средствами, находящимися на любом счете Заемщика, в т.ч. предъявление требований, помещенных в картотеку «Расчетные документы, не оплаченные в срок», приостановление операций по счету Заемщика, наложение ареста на денежные средства на счете Заемщика, обращение взыскания на денежные средства на счете Заемщика; </w:t>
      </w:r>
    </w:p>
    <w:p w14:paraId="7BC560AD" w14:textId="77777777" w:rsidR="009D66D0" w:rsidRPr="008D7DC2" w:rsidRDefault="009D66D0" w:rsidP="009D66D0">
      <w:pPr>
        <w:pStyle w:val="Default"/>
        <w:ind w:firstLine="567"/>
        <w:jc w:val="both"/>
      </w:pPr>
      <w:r w:rsidRPr="009B7217">
        <w:rPr>
          <w:rFonts w:ascii="Arial" w:hAnsi="Arial" w:cs="Arial"/>
        </w:rPr>
        <w:t xml:space="preserve">• </w:t>
      </w:r>
      <w:r w:rsidRPr="008D7DC2">
        <w:t xml:space="preserve">о принятии в отношении Заемщика/лица, предоставившего обеспечение исполнения обязательств Заемщика по договору, уполномоченным органом такого лица или уполномоченным государственным (муниципальным) органом решения о ликвидации; </w:t>
      </w:r>
    </w:p>
    <w:p w14:paraId="5E1AB718" w14:textId="46037CFF" w:rsidR="009D66D0" w:rsidRPr="008D7DC2" w:rsidRDefault="009D66D0" w:rsidP="009D66D0">
      <w:pPr>
        <w:pStyle w:val="Default"/>
        <w:ind w:firstLine="567"/>
        <w:jc w:val="both"/>
      </w:pPr>
      <w:r w:rsidRPr="008D7DC2">
        <w:t>•</w:t>
      </w:r>
      <w:r w:rsidR="008D7DC2">
        <w:t xml:space="preserve"> о </w:t>
      </w:r>
      <w:r w:rsidRPr="008D7DC2">
        <w:t xml:space="preserve">соблюдении условий, установленных договором займа/обеспечения и подтверждающих устойчивое финансовое положение лица, предоставившего обеспечение; </w:t>
      </w:r>
    </w:p>
    <w:p w14:paraId="41EF0370" w14:textId="36D7D178" w:rsidR="009D66D0" w:rsidRPr="008D7DC2" w:rsidRDefault="009D66D0" w:rsidP="009D66D0">
      <w:pPr>
        <w:pStyle w:val="Default"/>
        <w:ind w:firstLine="567"/>
        <w:jc w:val="both"/>
      </w:pPr>
      <w:r w:rsidRPr="008D7DC2">
        <w:t>•</w:t>
      </w:r>
      <w:r w:rsidR="008D7DC2">
        <w:t xml:space="preserve"> о </w:t>
      </w:r>
      <w:r w:rsidRPr="008D7DC2">
        <w:t xml:space="preserve">неисполнении Заемщиком более 30 календарных дней любого платежного обязательства по кредитным договорам/договорам займа Заемщика с третьими лицами; </w:t>
      </w:r>
    </w:p>
    <w:p w14:paraId="0D58129B" w14:textId="23E77647" w:rsidR="004E636F" w:rsidRPr="009B7217" w:rsidRDefault="009D66D0" w:rsidP="0083524B">
      <w:pPr>
        <w:pStyle w:val="Default"/>
        <w:ind w:firstLine="567"/>
        <w:jc w:val="both"/>
      </w:pPr>
      <w:r w:rsidRPr="008D7DC2">
        <w:t>• об обстоятельствах и условиях, указанных в решении Экспертного</w:t>
      </w:r>
      <w:r w:rsidRPr="009B7217">
        <w:t xml:space="preserve"> совета.</w:t>
      </w:r>
    </w:p>
    <w:p w14:paraId="38D93713" w14:textId="1AD0876D" w:rsidR="00CB38EB" w:rsidRDefault="00CB38EB" w:rsidP="004E636F">
      <w:pPr>
        <w:pStyle w:val="Default"/>
        <w:rPr>
          <w:b/>
          <w:bCs/>
          <w:sz w:val="28"/>
          <w:szCs w:val="28"/>
        </w:rPr>
      </w:pPr>
    </w:p>
    <w:p w14:paraId="00229851" w14:textId="77777777" w:rsidR="004E636F" w:rsidRDefault="004E636F" w:rsidP="00CB38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Управление обеспечением возврата средств на стадии экспертизы и</w:t>
      </w:r>
    </w:p>
    <w:p w14:paraId="4A3A08AF" w14:textId="6735E02A" w:rsidR="004E636F" w:rsidRDefault="004E636F" w:rsidP="00CB38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оформления договора займа</w:t>
      </w:r>
    </w:p>
    <w:p w14:paraId="2F6BF054" w14:textId="77777777" w:rsidR="00CB38EB" w:rsidRPr="008D7DC2" w:rsidRDefault="00CB38EB" w:rsidP="008D7DC2">
      <w:pPr>
        <w:pStyle w:val="Default"/>
        <w:ind w:firstLine="709"/>
        <w:jc w:val="both"/>
      </w:pPr>
      <w:r w:rsidRPr="008D7DC2">
        <w:t xml:space="preserve">5.1. Управление обеспечением возврата средств Займов на стадии экспертизы и оформления Договора займа включает следующие мероприятия: </w:t>
      </w:r>
    </w:p>
    <w:p w14:paraId="5AEF84B4" w14:textId="77777777" w:rsidR="00CB38EB" w:rsidRPr="008D7DC2" w:rsidRDefault="00CB38EB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изучение качества предложенного обеспечения или финансового состояния лица, предоставляющего обеспечение; </w:t>
      </w:r>
    </w:p>
    <w:p w14:paraId="31C2E474" w14:textId="77777777" w:rsidR="00CB38EB" w:rsidRPr="008D7DC2" w:rsidRDefault="00CB38EB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проверка правоспособности лица, предоставляющего Обеспечение, и его прав на имущество, предоставляемое в залог; </w:t>
      </w:r>
    </w:p>
    <w:p w14:paraId="1CC301AC" w14:textId="77777777" w:rsidR="00CB38EB" w:rsidRPr="008D7DC2" w:rsidRDefault="00CB38EB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согласование предоставляемого Обеспечения при формировании проекта решения Экспертного совета; </w:t>
      </w:r>
    </w:p>
    <w:p w14:paraId="0023DA90" w14:textId="77777777" w:rsidR="00CB38EB" w:rsidRPr="008D7DC2" w:rsidRDefault="00CB38EB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подготовка соответствующих договоров, соглашений и иных юридических документов по Обеспечению после принятия решения о предоставлении займа. </w:t>
      </w:r>
    </w:p>
    <w:p w14:paraId="7A8466D4" w14:textId="77777777" w:rsidR="00CB38EB" w:rsidRPr="008D7DC2" w:rsidRDefault="00CB38EB" w:rsidP="008D7DC2">
      <w:pPr>
        <w:pStyle w:val="Default"/>
        <w:ind w:firstLine="709"/>
      </w:pPr>
    </w:p>
    <w:p w14:paraId="4469CCC7" w14:textId="77777777" w:rsidR="00CB38EB" w:rsidRPr="008D7DC2" w:rsidRDefault="00CB38EB" w:rsidP="008D7DC2">
      <w:pPr>
        <w:pStyle w:val="Default"/>
        <w:ind w:firstLine="709"/>
        <w:jc w:val="both"/>
      </w:pPr>
      <w:r w:rsidRPr="008D7DC2">
        <w:t xml:space="preserve">5.2. При подаче заявки Заемщик указывает возможные виды предоставляемого Обеспечения с приложением комплекта документов по нему. </w:t>
      </w:r>
    </w:p>
    <w:p w14:paraId="29E1B69A" w14:textId="77777777" w:rsidR="00CB38EB" w:rsidRPr="008D7DC2" w:rsidRDefault="00CB38EB" w:rsidP="008D7DC2">
      <w:pPr>
        <w:pStyle w:val="Default"/>
        <w:spacing w:after="38"/>
        <w:ind w:firstLine="709"/>
        <w:jc w:val="both"/>
      </w:pPr>
      <w:r w:rsidRPr="008D7DC2">
        <w:t xml:space="preserve">5.3. Экспертиза полученных Фондом заявок осуществляется в соответствии со стандартами Фонда. Экспертиза включает анализ качества и достаточности предлагаемого Обеспечения. По результатам экспертизы Фондом могут быть запрошены дополнительные документы по предоставляемому Обеспечению. </w:t>
      </w:r>
    </w:p>
    <w:p w14:paraId="5326F049" w14:textId="462457FA" w:rsidR="00CB38EB" w:rsidRDefault="00CB38EB" w:rsidP="008D7DC2">
      <w:pPr>
        <w:pStyle w:val="Default"/>
        <w:spacing w:after="38"/>
        <w:ind w:firstLine="709"/>
        <w:jc w:val="both"/>
      </w:pPr>
      <w:r w:rsidRPr="008D7DC2">
        <w:lastRenderedPageBreak/>
        <w:t xml:space="preserve">5.4. По результатам экспертизы заявки Фонд выносит проект на рассмотрение Экспертным советом с приложением согласованного списка предоставляемого Обеспечения и отчета оценочной компании об определении оценочной (рыночной) стоимости залога в случаях, когда предоставление такой оценки предусмотрено настоящим стандартом. </w:t>
      </w:r>
    </w:p>
    <w:p w14:paraId="7B4FFEFD" w14:textId="1FF5A88C" w:rsidR="00B00F65" w:rsidRPr="008D7DC2" w:rsidRDefault="00B00F65" w:rsidP="008D7DC2">
      <w:pPr>
        <w:pStyle w:val="Default"/>
        <w:spacing w:after="38"/>
        <w:ind w:firstLine="709"/>
        <w:jc w:val="both"/>
      </w:pPr>
      <w:r w:rsidRPr="009B7217">
        <w:t xml:space="preserve">Решение о </w:t>
      </w:r>
      <w:r>
        <w:t>необходимости страхования Обеспечения</w:t>
      </w:r>
      <w:r w:rsidRPr="009B7217">
        <w:t xml:space="preserve"> принимает Экспертный совет.</w:t>
      </w:r>
    </w:p>
    <w:p w14:paraId="143564D2" w14:textId="49141AD7" w:rsidR="00CB38EB" w:rsidRPr="008D7DC2" w:rsidRDefault="00CB38EB" w:rsidP="008D7DC2">
      <w:pPr>
        <w:pStyle w:val="Default"/>
        <w:ind w:firstLine="709"/>
        <w:jc w:val="both"/>
      </w:pPr>
      <w:r w:rsidRPr="008D7DC2">
        <w:t>5.5. После принятия Экспертным советом</w:t>
      </w:r>
      <w:r w:rsidR="005239D2" w:rsidRPr="008D7DC2">
        <w:t xml:space="preserve"> </w:t>
      </w:r>
      <w:r w:rsidRPr="008D7DC2">
        <w:t>решения об одобрении предоставления финансирования для реализации проекта и согласовании вида и объема (с учетом применяемых дисконтов) Обеспечения:</w:t>
      </w:r>
    </w:p>
    <w:p w14:paraId="5F69841C" w14:textId="77777777" w:rsidR="00CB38EB" w:rsidRPr="008D7DC2" w:rsidRDefault="00CB38EB" w:rsidP="008D7DC2">
      <w:pPr>
        <w:pStyle w:val="Default"/>
        <w:spacing w:after="41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подписывается комплект документов по выдаче Займа; </w:t>
      </w:r>
    </w:p>
    <w:p w14:paraId="18DD87F1" w14:textId="1AF43F61" w:rsidR="00A1457A" w:rsidRPr="00A1457A" w:rsidRDefault="00A1457A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1457A">
        <w:t xml:space="preserve">на период оформления </w:t>
      </w:r>
      <w:r>
        <w:t xml:space="preserve">Обеспечения возможно введение </w:t>
      </w:r>
      <w:r w:rsidRPr="008D7DC2">
        <w:t>ограничени</w:t>
      </w:r>
      <w:r>
        <w:t>я</w:t>
      </w:r>
      <w:r w:rsidRPr="008D7DC2">
        <w:t xml:space="preserve"> расходования средств займа</w:t>
      </w:r>
      <w:r>
        <w:t>, в соответствие с решением Экспертного совета;</w:t>
      </w:r>
    </w:p>
    <w:p w14:paraId="462D8F6C" w14:textId="73A819F6" w:rsidR="00CB38EB" w:rsidRPr="008D7DC2" w:rsidRDefault="00CB38EB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>в случае невыполнения Заемщиком условий по Обеспечению принимается решение об отказе в выдаче Займа</w:t>
      </w:r>
      <w:r w:rsidR="00F62EDB">
        <w:t xml:space="preserve"> </w:t>
      </w:r>
    </w:p>
    <w:p w14:paraId="5CE40643" w14:textId="12F8E4B6" w:rsidR="00CB38EB" w:rsidRPr="008D7DC2" w:rsidRDefault="00CB38EB" w:rsidP="008D7DC2">
      <w:pPr>
        <w:pStyle w:val="Default"/>
        <w:spacing w:after="36"/>
        <w:ind w:firstLine="709"/>
        <w:jc w:val="both"/>
      </w:pPr>
      <w:r w:rsidRPr="008D7DC2">
        <w:t xml:space="preserve">5.6. В случае предоставления Обеспечения в виде недвижимого имущества Фонд в целях обеспечения регистрационных действий выдает заем до государственной регистрации залога (ипотеки) недвижимого имущества. При этом на период до завершения государственной регистрации Фонд на сумму залоговой стоимости такого Обеспечения </w:t>
      </w:r>
      <w:r w:rsidR="00426EDD">
        <w:t>может вводить</w:t>
      </w:r>
      <w:r w:rsidRPr="008D7DC2">
        <w:t xml:space="preserve"> ограничение расходования средств займа. </w:t>
      </w:r>
      <w:r w:rsidR="00CF0C28">
        <w:t>Аналогичное ограничение может применятся к иным видам Обеспечения, в соответствие с решением Экспертного совета.</w:t>
      </w:r>
    </w:p>
    <w:p w14:paraId="32D124FD" w14:textId="13C9E6B7" w:rsidR="00CB38EB" w:rsidRPr="008D7DC2" w:rsidRDefault="00CB38EB" w:rsidP="008D7DC2">
      <w:pPr>
        <w:pStyle w:val="Default"/>
        <w:ind w:firstLine="709"/>
        <w:jc w:val="both"/>
      </w:pPr>
      <w:r w:rsidRPr="008D7DC2">
        <w:t>5.7. При отказе в государственной регистрации залога (ипотеки) недвижимого имущества</w:t>
      </w:r>
      <w:r w:rsidR="00EA7666">
        <w:t>/непредставлении Обеспечения</w:t>
      </w:r>
      <w:r w:rsidRPr="008D7DC2">
        <w:t xml:space="preserve"> Заемщик обязан предложить взамен иное Обеспечение, удовлетворяющее требованиям настоящего стандарта. Если в сроки, предусмотренные настоящим стандартом для замены Обеспечения, новое Обеспечение Заемщиком не предоставлено, Фонд осуществляет дальнейшие действия в порядке, предусмотренным в отношении задолженности, имеющей признаки проблемной.</w:t>
      </w:r>
    </w:p>
    <w:p w14:paraId="2BC39B8D" w14:textId="77777777" w:rsidR="00D03B1C" w:rsidRPr="008D7DC2" w:rsidRDefault="00D03B1C" w:rsidP="00D03B1C">
      <w:pPr>
        <w:pStyle w:val="Default"/>
      </w:pPr>
    </w:p>
    <w:p w14:paraId="0A332966" w14:textId="0C00AE9F" w:rsidR="00D03B1C" w:rsidRDefault="00D03B1C" w:rsidP="008352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Контроль состояния и управление изменением обеспечения</w:t>
      </w:r>
    </w:p>
    <w:p w14:paraId="77CB2B1B" w14:textId="713829F4" w:rsidR="00D03B1C" w:rsidRPr="008D7DC2" w:rsidRDefault="00D03B1C" w:rsidP="008D7DC2">
      <w:pPr>
        <w:pStyle w:val="Default"/>
        <w:ind w:firstLine="709"/>
        <w:jc w:val="both"/>
      </w:pPr>
      <w:r w:rsidRPr="008D7DC2">
        <w:t>6.1. В течение срока действия Договора займа Фонд контролируют состояние Обеспечения Займа, в том числе соответствие поручителей/гарантов критериям устойчивости финансового положения, установленных в соответствии с настоящим стандартом, исполнение соответствующих договоров залога, поручительства, гарантии и пр. в с</w:t>
      </w:r>
      <w:r w:rsidR="00F76756" w:rsidRPr="008D7DC2">
        <w:t xml:space="preserve">оответствии со Стандартом </w:t>
      </w:r>
      <w:r w:rsidR="00F76756" w:rsidRPr="00D44A73">
        <w:rPr>
          <w:color w:val="auto"/>
        </w:rPr>
        <w:t>Фонда № СФ-</w:t>
      </w:r>
      <w:r w:rsidR="00AC67FA" w:rsidRPr="00D44A73">
        <w:rPr>
          <w:color w:val="auto"/>
        </w:rPr>
        <w:t>4</w:t>
      </w:r>
      <w:r w:rsidR="00F76756" w:rsidRPr="00D44A73">
        <w:rPr>
          <w:color w:val="auto"/>
        </w:rPr>
        <w:t xml:space="preserve"> «Порядок осуществления</w:t>
      </w:r>
      <w:r w:rsidR="005335A1">
        <w:rPr>
          <w:color w:val="auto"/>
        </w:rPr>
        <w:t xml:space="preserve"> мониторинга</w:t>
      </w:r>
      <w:r w:rsidR="00F76756" w:rsidRPr="00D44A73">
        <w:rPr>
          <w:color w:val="auto"/>
        </w:rPr>
        <w:t xml:space="preserve"> </w:t>
      </w:r>
      <w:r w:rsidR="005335A1">
        <w:rPr>
          <w:color w:val="auto"/>
        </w:rPr>
        <w:t>(</w:t>
      </w:r>
      <w:r w:rsidR="00F76756" w:rsidRPr="00D44A73">
        <w:rPr>
          <w:color w:val="auto"/>
        </w:rPr>
        <w:t>контроля</w:t>
      </w:r>
      <w:r w:rsidR="005335A1">
        <w:rPr>
          <w:color w:val="auto"/>
        </w:rPr>
        <w:t>)</w:t>
      </w:r>
      <w:r w:rsidR="00F76756" w:rsidRPr="00D44A73">
        <w:rPr>
          <w:color w:val="auto"/>
        </w:rPr>
        <w:t xml:space="preserve"> за возвратностью предоставленных денежных средств».  </w:t>
      </w:r>
      <w:r w:rsidR="00F76756" w:rsidRPr="008D7DC2">
        <w:t>При этом применяются критерии устойчивости финансового положения в редакции, действовавшей на момент предоставления поручительства/гарантии, либо (при условии соответствующего обращения Заемщика) в редакции, действующей на текущий момент</w:t>
      </w:r>
      <w:r w:rsidR="005335A1">
        <w:t>.</w:t>
      </w:r>
    </w:p>
    <w:p w14:paraId="171168E2" w14:textId="1137C70E" w:rsidR="00D03B1C" w:rsidRPr="008D7DC2" w:rsidRDefault="00D03B1C" w:rsidP="008D7DC2">
      <w:pPr>
        <w:pStyle w:val="Default"/>
        <w:ind w:firstLine="709"/>
        <w:jc w:val="both"/>
      </w:pPr>
      <w:r w:rsidRPr="008D7DC2">
        <w:t xml:space="preserve">6.2. Фонд признает риски утраты/ухудшения Обеспечения при наступлении следующих событий, </w:t>
      </w:r>
      <w:r w:rsidR="00F76756" w:rsidRPr="008D7DC2">
        <w:t>которые могут</w:t>
      </w:r>
      <w:r w:rsidRPr="008D7DC2">
        <w:t xml:space="preserve"> повлечь за собой утрату Обеспечения по займу: </w:t>
      </w:r>
    </w:p>
    <w:p w14:paraId="11F1529D" w14:textId="77777777" w:rsidR="00D03B1C" w:rsidRPr="008D7DC2" w:rsidRDefault="00D03B1C" w:rsidP="00AC67FA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предъявление исковых требований об оспаривании права собственности на имущество, принятое Фондом в залог, отчуждении такого имущества и/или принятие третьими лицами решений о подаче таких исков; </w:t>
      </w:r>
    </w:p>
    <w:p w14:paraId="71FB0076" w14:textId="01EE460E" w:rsidR="00D03B1C" w:rsidRPr="008D7DC2" w:rsidRDefault="00D03B1C" w:rsidP="00AC67FA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ухудшение финансового положения поручителей/гарантов, вследствие чего поручитель/гарант перестает соответствовать критериям устойчивости финансового положения, установленных настоящим стандартом. При этом несоответствие (после выдачи Фондом займа) банка-гаранта критериям для кредитных организаций, гарантии которых могут быть рассмотрены в качестве основного обеспечения по займам, не признается риском утраты/ухудшения обеспечения; </w:t>
      </w:r>
    </w:p>
    <w:p w14:paraId="454DAE3F" w14:textId="3A0913AC" w:rsidR="00D03B1C" w:rsidRPr="008D7DC2" w:rsidRDefault="00D03B1C" w:rsidP="00AC67FA">
      <w:pPr>
        <w:pStyle w:val="Default"/>
        <w:ind w:firstLine="709"/>
        <w:jc w:val="both"/>
      </w:pPr>
      <w:r w:rsidRPr="008D7DC2">
        <w:rPr>
          <w:rFonts w:ascii="Arial" w:hAnsi="Arial" w:cs="Arial"/>
        </w:rPr>
        <w:t>•</w:t>
      </w:r>
      <w:r w:rsidR="00AC67FA">
        <w:rPr>
          <w:rFonts w:ascii="Arial" w:hAnsi="Arial" w:cs="Arial"/>
        </w:rPr>
        <w:t xml:space="preserve"> </w:t>
      </w:r>
      <w:r w:rsidRPr="008D7DC2">
        <w:t xml:space="preserve">инициация процедуры банкротства в отношении залогодателя/поручителя/гаранта; </w:t>
      </w:r>
    </w:p>
    <w:p w14:paraId="502278A2" w14:textId="77777777" w:rsidR="00D03B1C" w:rsidRPr="008D7DC2" w:rsidRDefault="00D03B1C" w:rsidP="00AC67FA">
      <w:pPr>
        <w:pStyle w:val="Default"/>
        <w:ind w:firstLine="709"/>
        <w:jc w:val="both"/>
      </w:pPr>
      <w:r w:rsidRPr="008D7DC2">
        <w:rPr>
          <w:rFonts w:ascii="Arial" w:hAnsi="Arial" w:cs="Arial"/>
        </w:rPr>
        <w:lastRenderedPageBreak/>
        <w:t xml:space="preserve">• </w:t>
      </w:r>
      <w:r w:rsidRPr="008D7DC2">
        <w:t xml:space="preserve">введение временной администрации в кредитном учреждении, предоставившем гарантию; </w:t>
      </w:r>
    </w:p>
    <w:p w14:paraId="557ABF35" w14:textId="77777777" w:rsidR="00D03B1C" w:rsidRPr="008D7DC2" w:rsidRDefault="00D03B1C" w:rsidP="00AC67FA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наступление событий, влияющих на качество и стоимость имущества, принятого Фондом в залог, нанесение ущерба имуществу; </w:t>
      </w:r>
    </w:p>
    <w:p w14:paraId="610644B8" w14:textId="2F0E0E7C" w:rsidR="00D03B1C" w:rsidRPr="008D7DC2" w:rsidRDefault="00AC67FA" w:rsidP="00AC67FA">
      <w:pPr>
        <w:pStyle w:val="Default"/>
        <w:ind w:firstLine="426"/>
        <w:jc w:val="both"/>
      </w:pPr>
      <w:r>
        <w:rPr>
          <w:rFonts w:ascii="Arial" w:hAnsi="Arial" w:cs="Arial"/>
        </w:rPr>
        <w:t xml:space="preserve">    </w:t>
      </w:r>
      <w:r w:rsidR="00D03B1C" w:rsidRPr="008D7D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D03B1C" w:rsidRPr="008D7DC2">
        <w:t xml:space="preserve">наступление иных событий, ведущих к невозможности исполнения залогодателем/поручителем/гарантом своих договорных обязательств в полном объеме. </w:t>
      </w:r>
    </w:p>
    <w:p w14:paraId="48873955" w14:textId="77777777" w:rsidR="00DF1DE2" w:rsidRPr="008D7DC2" w:rsidRDefault="00D03B1C" w:rsidP="008D7DC2">
      <w:pPr>
        <w:pStyle w:val="Default"/>
        <w:ind w:firstLine="709"/>
        <w:jc w:val="both"/>
      </w:pPr>
      <w:r w:rsidRPr="008D7DC2">
        <w:t>6.3. Под утратой/ухудшением Об</w:t>
      </w:r>
      <w:r w:rsidR="00DF1DE2" w:rsidRPr="008D7DC2">
        <w:t xml:space="preserve">еспечения для целей настоящего стандарта понимается наступление следующих обстоятельств: </w:t>
      </w:r>
    </w:p>
    <w:p w14:paraId="06AF60B4" w14:textId="77777777" w:rsidR="00DF1DE2" w:rsidRPr="008D7DC2" w:rsidRDefault="00DF1DE2" w:rsidP="008D7DC2">
      <w:pPr>
        <w:pStyle w:val="Default"/>
        <w:spacing w:after="43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гибель (утрата) имущества, предоставленного в залог; </w:t>
      </w:r>
    </w:p>
    <w:p w14:paraId="66847592" w14:textId="64B4457B" w:rsidR="00552247" w:rsidRPr="008D7DC2" w:rsidRDefault="00DF1DE2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>•</w:t>
      </w:r>
      <w:r w:rsidR="00AC67FA">
        <w:rPr>
          <w:rFonts w:ascii="Arial" w:hAnsi="Arial" w:cs="Arial"/>
        </w:rPr>
        <w:t xml:space="preserve"> </w:t>
      </w:r>
      <w:r w:rsidRPr="008D7DC2">
        <w:t>снижение рыночной стоимости предмета залога (с учетом применяемых дисконтов) ниже размера текущей задолженности Заемщика (с учетом подлежащих уплате за пользование займов процентов);</w:t>
      </w:r>
      <w:r w:rsidR="00552247" w:rsidRPr="008D7DC2">
        <w:t xml:space="preserve"> </w:t>
      </w:r>
    </w:p>
    <w:p w14:paraId="1D9825A3" w14:textId="72DA5E2A" w:rsidR="0083524B" w:rsidRPr="008D7DC2" w:rsidRDefault="00662DF5" w:rsidP="008D7DC2">
      <w:pPr>
        <w:pStyle w:val="Default"/>
        <w:ind w:firstLine="709"/>
        <w:jc w:val="both"/>
      </w:pPr>
      <w:r w:rsidRPr="008D7DC2">
        <w:rPr>
          <w:rFonts w:ascii="Arial" w:hAnsi="Arial" w:cs="Arial"/>
        </w:rPr>
        <w:t>•</w:t>
      </w:r>
      <w:r w:rsidR="00AC67FA">
        <w:rPr>
          <w:rFonts w:ascii="Arial" w:hAnsi="Arial" w:cs="Arial"/>
        </w:rPr>
        <w:t xml:space="preserve"> </w:t>
      </w:r>
      <w:r w:rsidRPr="008D7DC2">
        <w:t>введение</w:t>
      </w:r>
      <w:r w:rsidR="0083524B" w:rsidRPr="008D7DC2">
        <w:t xml:space="preserve"> процедур банкротства в отношении</w:t>
      </w:r>
      <w:r w:rsidR="00552247" w:rsidRPr="008D7DC2">
        <w:t xml:space="preserve"> </w:t>
      </w:r>
      <w:r w:rsidR="0083524B" w:rsidRPr="008D7DC2">
        <w:t>залогодателя/поручителя/гаранта;</w:t>
      </w:r>
    </w:p>
    <w:p w14:paraId="0EE12EF9" w14:textId="3E5B7355" w:rsidR="00DF1DE2" w:rsidRPr="008D7DC2" w:rsidRDefault="00DF1DE2" w:rsidP="008D7DC2">
      <w:pPr>
        <w:pStyle w:val="Default"/>
        <w:spacing w:after="36"/>
        <w:ind w:firstLine="709"/>
        <w:jc w:val="both"/>
      </w:pPr>
      <w:r w:rsidRPr="008D7DC2">
        <w:rPr>
          <w:rFonts w:ascii="Arial" w:hAnsi="Arial" w:cs="Arial"/>
        </w:rPr>
        <w:t>•</w:t>
      </w:r>
      <w:r w:rsidR="00AC67FA">
        <w:rPr>
          <w:rFonts w:ascii="Arial" w:hAnsi="Arial" w:cs="Arial"/>
        </w:rPr>
        <w:t xml:space="preserve"> </w:t>
      </w:r>
      <w:r w:rsidRPr="008D7DC2">
        <w:t xml:space="preserve">ликвидация юридического лица, предоставившего залог/поручительство/гарантию; </w:t>
      </w:r>
    </w:p>
    <w:p w14:paraId="6FD3B73C" w14:textId="0CC5E3E4" w:rsidR="00DF1DE2" w:rsidRPr="008D7DC2" w:rsidRDefault="00DF1DE2" w:rsidP="00AC67FA">
      <w:pPr>
        <w:pStyle w:val="Default"/>
        <w:ind w:firstLine="709"/>
        <w:jc w:val="both"/>
      </w:pPr>
      <w:r w:rsidRPr="008D7DC2">
        <w:rPr>
          <w:rFonts w:ascii="Arial" w:hAnsi="Arial" w:cs="Arial"/>
        </w:rPr>
        <w:t xml:space="preserve">• </w:t>
      </w:r>
      <w:r w:rsidRPr="008D7DC2">
        <w:t xml:space="preserve">отзыв лицензии на осуществление банковской деятельности у кредитной организации, предоставившей независимую гарантию; </w:t>
      </w:r>
    </w:p>
    <w:p w14:paraId="60C7F865" w14:textId="46DF4D53" w:rsidR="00662DF5" w:rsidRPr="008D7DC2" w:rsidRDefault="00662DF5" w:rsidP="008D7DC2">
      <w:pPr>
        <w:spacing w:line="240" w:lineRule="auto"/>
        <w:ind w:lef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DC2"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Pr="008D7DC2">
        <w:rPr>
          <w:rFonts w:ascii="Arial" w:eastAsia="Arial" w:hAnsi="Arial"/>
          <w:sz w:val="24"/>
          <w:szCs w:val="24"/>
        </w:rPr>
        <w:t xml:space="preserve">. </w:t>
      </w:r>
      <w:r w:rsidRPr="008D7DC2">
        <w:rPr>
          <w:rFonts w:ascii="Times New Roman" w:hAnsi="Times New Roman" w:cs="Times New Roman"/>
          <w:color w:val="000000"/>
          <w:sz w:val="24"/>
          <w:szCs w:val="24"/>
        </w:rPr>
        <w:t>Фондом не признаются утратой обеспечения наступление следующих событий:</w:t>
      </w:r>
    </w:p>
    <w:p w14:paraId="7817A8A2" w14:textId="1B4F28DC" w:rsidR="00662DF5" w:rsidRPr="008D7DC2" w:rsidRDefault="00662DF5" w:rsidP="008D7DC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DC2">
        <w:rPr>
          <w:rFonts w:ascii="Times New Roman" w:hAnsi="Times New Roman" w:cs="Times New Roman"/>
          <w:color w:val="000000"/>
          <w:sz w:val="24"/>
          <w:szCs w:val="24"/>
        </w:rPr>
        <w:t>принятие к кредитной организации мер по предупреждению банкротства кредитных организаций, предусмотренных подпунктами 1, 3, 4 пункта 1 статьи 1899 Федерального закона № 127-ФЗ от 26.10.2002 "О несостоятельности (банкротстве)";</w:t>
      </w:r>
    </w:p>
    <w:p w14:paraId="1EC44F50" w14:textId="0140F19B" w:rsidR="00662DF5" w:rsidRPr="008D7DC2" w:rsidRDefault="00662DF5" w:rsidP="008D7DC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DC2">
        <w:rPr>
          <w:rFonts w:ascii="Times New Roman" w:hAnsi="Times New Roman" w:cs="Times New Roman"/>
          <w:color w:val="000000"/>
          <w:sz w:val="24"/>
          <w:szCs w:val="24"/>
        </w:rPr>
        <w:t>факт исключения (после выдачи Фондом займа) банка-гаранта из утверждаемого Фондом перечня кредитных организаций, гарантии которых могут быть рассмотрены в качестве основного обеспечения по займам.</w:t>
      </w:r>
    </w:p>
    <w:p w14:paraId="55C1189C" w14:textId="0BDB6BC8" w:rsidR="00DF1DE2" w:rsidRPr="008D7DC2" w:rsidRDefault="00DF1DE2" w:rsidP="008D7DC2">
      <w:pPr>
        <w:pStyle w:val="Default"/>
        <w:spacing w:after="36"/>
        <w:ind w:firstLine="709"/>
        <w:jc w:val="both"/>
      </w:pPr>
      <w:r w:rsidRPr="008D7DC2">
        <w:t>6.</w:t>
      </w:r>
      <w:r w:rsidR="00552247" w:rsidRPr="008D7DC2">
        <w:t>5.</w:t>
      </w:r>
      <w:r w:rsidRPr="008D7DC2">
        <w:t xml:space="preserve"> В случае утраты/ухудшения Обеспечения, а также в случае, если Фондом признаны высокие риски утраты/ухудшения Обеспечения, Фонд предъявляет Заемщику требование о замене Обеспечения. Заемщик обязан в течение 10 (десяти) календарных дней с момента предъявления такого требования предложить иное Обеспечение, удовлетворяющее требованиям Стандарта Фонда (в редакции, действующей на момент предоставления нового Обеспечения). </w:t>
      </w:r>
    </w:p>
    <w:p w14:paraId="6BDA0DB5" w14:textId="059207EB" w:rsidR="00DF1DE2" w:rsidRPr="008D7DC2" w:rsidRDefault="00DF1DE2" w:rsidP="008D7DC2">
      <w:pPr>
        <w:pStyle w:val="Default"/>
        <w:ind w:firstLine="709"/>
        <w:jc w:val="both"/>
      </w:pPr>
      <w:r w:rsidRPr="008D7DC2">
        <w:t>6.</w:t>
      </w:r>
      <w:r w:rsidR="00552247" w:rsidRPr="008D7DC2">
        <w:t>6</w:t>
      </w:r>
      <w:r w:rsidRPr="008D7DC2">
        <w:t>.</w:t>
      </w:r>
      <w:r w:rsidR="00552247" w:rsidRPr="008D7DC2">
        <w:t xml:space="preserve"> </w:t>
      </w:r>
      <w:r w:rsidRPr="008D7DC2">
        <w:t xml:space="preserve">Фонд принимает предложенное Заемщиком взамен утраченного/ухудшившегося Обеспечения новое Обеспечение на основании проведенных Фондом экспертиз и оценки, при условии подтверждения его соответствия по заключению требованиям настоящего стандарта (в редакции, действующей на момент предоставления нового Обеспечения). </w:t>
      </w:r>
    </w:p>
    <w:p w14:paraId="274CCE51" w14:textId="511273F0" w:rsidR="00CB717D" w:rsidRPr="008D7DC2" w:rsidRDefault="00CB717D" w:rsidP="008D7DC2">
      <w:pPr>
        <w:pStyle w:val="Default"/>
        <w:ind w:firstLine="709"/>
        <w:jc w:val="both"/>
      </w:pPr>
      <w:r w:rsidRPr="008D7DC2">
        <w:t xml:space="preserve">При этом к ранее принятому Обеспечению, которое не выводится из залога, применяются требования настоящего стандарта и требования к качеству обеспечения </w:t>
      </w:r>
      <w:proofErr w:type="gramStart"/>
      <w:r w:rsidRPr="008D7DC2">
        <w:t>в</w:t>
      </w:r>
      <w:r w:rsidR="006559E0">
        <w:t xml:space="preserve"> </w:t>
      </w:r>
      <w:r w:rsidRPr="008D7DC2">
        <w:t>редакции</w:t>
      </w:r>
      <w:proofErr w:type="gramEnd"/>
      <w:r w:rsidRPr="008D7DC2">
        <w:t xml:space="preserve"> действовавшей на момент принятия данного Обеспечения, либо (при условии соответствующего обращения Заемщика) в редакции, действующей на момент предоставления нового Обеспечения. </w:t>
      </w:r>
    </w:p>
    <w:p w14:paraId="4893D31D" w14:textId="77777777" w:rsidR="00CB717D" w:rsidRPr="008D7DC2" w:rsidRDefault="00CB717D" w:rsidP="008D7DC2">
      <w:pPr>
        <w:pStyle w:val="Default"/>
        <w:ind w:firstLine="709"/>
        <w:jc w:val="both"/>
      </w:pPr>
      <w:r w:rsidRPr="008D7DC2">
        <w:t>Срок замены Обеспечения (заключения соответствующего договора) не может превышать 30 (тридцати) календарных дней с момента утраты/ухудшения Обеспечения (без учета времени, необходимого для регистрации залога).</w:t>
      </w:r>
    </w:p>
    <w:p w14:paraId="6A16E9A2" w14:textId="1D9CA7B2" w:rsidR="00DF1DE2" w:rsidRPr="008D7DC2" w:rsidRDefault="00DF1DE2" w:rsidP="008D7DC2">
      <w:pPr>
        <w:pStyle w:val="Default"/>
        <w:ind w:firstLine="709"/>
        <w:jc w:val="both"/>
      </w:pPr>
      <w:r w:rsidRPr="008D7DC2">
        <w:t>6.</w:t>
      </w:r>
      <w:r w:rsidR="00552247" w:rsidRPr="008D7DC2">
        <w:t>7</w:t>
      </w:r>
      <w:r w:rsidRPr="008D7DC2">
        <w:t xml:space="preserve">. В случае </w:t>
      </w:r>
      <w:proofErr w:type="gramStart"/>
      <w:r w:rsidRPr="008D7DC2">
        <w:t>не</w:t>
      </w:r>
      <w:r w:rsidR="006559E0">
        <w:t xml:space="preserve"> </w:t>
      </w:r>
      <w:r w:rsidRPr="008D7DC2">
        <w:t>достижения</w:t>
      </w:r>
      <w:proofErr w:type="gramEnd"/>
      <w:r w:rsidRPr="008D7DC2">
        <w:t xml:space="preserve"> сторонами Договора займа согласия по факту ухудшения состояния обеспечения, Фонд за свой счет привлекает оценочную компанию для определения рыночной стоимости залога в соответствии с п. 3.1</w:t>
      </w:r>
      <w:r w:rsidR="00552247" w:rsidRPr="008D7DC2">
        <w:t>5</w:t>
      </w:r>
      <w:r w:rsidRPr="008D7DC2">
        <w:t xml:space="preserve">-3.18 настоящего стандарта. </w:t>
      </w:r>
    </w:p>
    <w:p w14:paraId="0890DB87" w14:textId="4D38C5D2" w:rsidR="00DF1DE2" w:rsidRPr="008D7DC2" w:rsidRDefault="00DF1DE2" w:rsidP="008D7DC2">
      <w:pPr>
        <w:pStyle w:val="Default"/>
        <w:ind w:firstLine="709"/>
        <w:jc w:val="both"/>
      </w:pPr>
      <w:r w:rsidRPr="008D7DC2">
        <w:t xml:space="preserve">В течение срока действия Договора займа Заемщик вправе предложить Фонду иное Обеспечение, соответствующее требованиям настоящего стандарта (в редакции, действующей на момент предоставления нового Обеспечения), с рассмотрением вопроса о замене обеспечения Экспертным советом Фонда. </w:t>
      </w:r>
    </w:p>
    <w:p w14:paraId="3842767A" w14:textId="163E24F0" w:rsidR="00DF1DE2" w:rsidRPr="008D7DC2" w:rsidRDefault="00DF1DE2" w:rsidP="008D7DC2">
      <w:pPr>
        <w:pStyle w:val="Default"/>
        <w:ind w:firstLine="709"/>
        <w:jc w:val="both"/>
      </w:pPr>
      <w:r w:rsidRPr="008D7DC2">
        <w:lastRenderedPageBreak/>
        <w:t>6.</w:t>
      </w:r>
      <w:r w:rsidR="00552247" w:rsidRPr="008D7DC2">
        <w:t>8</w:t>
      </w:r>
      <w:r w:rsidRPr="008D7DC2">
        <w:t xml:space="preserve">. При отсутствии негативных факторов исполнения платежной дисциплины обслуживания займа Заемщик имеет право подать заявление на уменьшение объема обремененного обеспечения по договору целевого займа, при выполнении следующего условия: </w:t>
      </w:r>
    </w:p>
    <w:p w14:paraId="68C7F525" w14:textId="36255C9D" w:rsidR="00DF1DE2" w:rsidRPr="008D7DC2" w:rsidRDefault="00DF1DE2" w:rsidP="006A43BE">
      <w:pPr>
        <w:pStyle w:val="Default"/>
        <w:numPr>
          <w:ilvl w:val="0"/>
          <w:numId w:val="5"/>
        </w:numPr>
        <w:ind w:left="0" w:firstLine="567"/>
        <w:jc w:val="both"/>
      </w:pPr>
      <w:r w:rsidRPr="008D7DC2">
        <w:t xml:space="preserve">при расчете обеспеченности по договору целевого займа, залоговой стоимости обеспечения должно быть достаточно с применением шкалы залоговых дисконтов для обеспечения оставшейся суммы займа и процентов по нему, в соответствии с настоящим Стандартом Фонда. При этом Заемщиком/Залогодателем предоставляется Информационная справка/ Информационное письмо/ Отчет об оценке от независимой оценочной организации, содержащее информацию о потенциальном изменении рыночной стоимости залогового имущества, не подлежащего высвобождению. </w:t>
      </w:r>
    </w:p>
    <w:p w14:paraId="5C232423" w14:textId="4D2BBDDC" w:rsidR="00E72F42" w:rsidRPr="008D7DC2" w:rsidRDefault="00DF1DE2" w:rsidP="008D7DC2">
      <w:pPr>
        <w:pStyle w:val="Default"/>
        <w:ind w:firstLine="709"/>
        <w:jc w:val="both"/>
      </w:pPr>
      <w:r w:rsidRPr="008D7DC2">
        <w:t>В случае, если потенциальная рыночная стоимость снижается более че</w:t>
      </w:r>
      <w:r w:rsidR="00E17F64" w:rsidRPr="008D7DC2">
        <w:t xml:space="preserve">м </w:t>
      </w:r>
      <w:r w:rsidR="00E72F42" w:rsidRPr="008D7DC2">
        <w:t>на 25% относительно рыночной стоимости, указанной в договоре(ах) залога/ипотеки, Заемщиком/Залогодателем предоставляется актуальный отчет об оценке</w:t>
      </w:r>
      <w:r w:rsidR="008D5CC5" w:rsidRPr="008D7DC2">
        <w:t xml:space="preserve"> </w:t>
      </w:r>
      <w:proofErr w:type="gramStart"/>
      <w:r w:rsidR="00E72F42" w:rsidRPr="008D7DC2">
        <w:t>имущества</w:t>
      </w:r>
      <w:proofErr w:type="gramEnd"/>
      <w:r w:rsidR="008D5CC5" w:rsidRPr="008D7DC2">
        <w:t xml:space="preserve"> </w:t>
      </w:r>
      <w:r w:rsidR="00E72F42" w:rsidRPr="008D7DC2">
        <w:t xml:space="preserve">не подлежащего высвобождению. В иных случаях, отчет об оценке не требуется, расчет обеспеченности производится по текущей залоговой стоимости, отраженной в договоре(ах) залога/ипотеки, не подлежащего высвобождению имущества. </w:t>
      </w:r>
    </w:p>
    <w:p w14:paraId="46F143EE" w14:textId="77777777" w:rsidR="00E72F42" w:rsidRPr="008D7DC2" w:rsidRDefault="00E72F42" w:rsidP="008D7DC2">
      <w:pPr>
        <w:pStyle w:val="Default"/>
        <w:ind w:firstLine="709"/>
        <w:jc w:val="both"/>
      </w:pPr>
      <w:r w:rsidRPr="008D7DC2">
        <w:t xml:space="preserve">Не допускается частичное высвобождение залогового имущества, если между объектами залога имеются взаимосвязи с точки зрения общего назначения при их реализации. </w:t>
      </w:r>
    </w:p>
    <w:p w14:paraId="30C7CBB7" w14:textId="77777777" w:rsidR="00DF1DE2" w:rsidRPr="008D7DC2" w:rsidRDefault="00E72F42" w:rsidP="008D7DC2">
      <w:pPr>
        <w:pStyle w:val="Default"/>
        <w:ind w:firstLine="709"/>
        <w:jc w:val="both"/>
      </w:pPr>
      <w:r w:rsidRPr="008D7DC2">
        <w:t>Принятие решения о согласовании вида и объема обеспечения, относится к компетенции Экспертного совета Фонда.</w:t>
      </w:r>
    </w:p>
    <w:p w14:paraId="35E48C13" w14:textId="77777777" w:rsidR="00E72F42" w:rsidRPr="008D7DC2" w:rsidRDefault="00E72F42" w:rsidP="008D7DC2">
      <w:pPr>
        <w:pStyle w:val="Default"/>
        <w:spacing w:after="31"/>
        <w:ind w:firstLine="709"/>
        <w:jc w:val="both"/>
      </w:pPr>
      <w:r w:rsidRPr="008D7DC2">
        <w:t xml:space="preserve">6.9. Фонд осуществляет экспертизу на соответствие предложенного Заявителем обеспечения возврата займа требованиям настоящего стандарта, предъявляемым к качеству и достаточности обеспечения. </w:t>
      </w:r>
    </w:p>
    <w:p w14:paraId="422E36AE" w14:textId="69DF4FD5" w:rsidR="00E72F42" w:rsidRPr="008D7DC2" w:rsidRDefault="00E72F42" w:rsidP="008D7DC2">
      <w:pPr>
        <w:pStyle w:val="Default"/>
        <w:ind w:firstLine="709"/>
        <w:jc w:val="both"/>
      </w:pPr>
      <w:r w:rsidRPr="008D7DC2">
        <w:t xml:space="preserve">6.10. Мониторинг имущества производится: </w:t>
      </w:r>
    </w:p>
    <w:p w14:paraId="01F494A5" w14:textId="77777777" w:rsidR="00E72F42" w:rsidRPr="008D7DC2" w:rsidRDefault="00E72F42" w:rsidP="008D7DC2">
      <w:pPr>
        <w:pStyle w:val="Default"/>
        <w:ind w:firstLine="709"/>
        <w:jc w:val="both"/>
      </w:pPr>
      <w:r w:rsidRPr="008D7DC2">
        <w:t xml:space="preserve">- для недвижимого имущества – не реже 1 раза в год; </w:t>
      </w:r>
    </w:p>
    <w:p w14:paraId="4330E212" w14:textId="77777777" w:rsidR="006A43BE" w:rsidRDefault="00E72F42" w:rsidP="008D7DC2">
      <w:pPr>
        <w:pStyle w:val="Default"/>
        <w:ind w:firstLine="709"/>
        <w:jc w:val="both"/>
      </w:pPr>
      <w:r w:rsidRPr="008D7DC2">
        <w:t xml:space="preserve">- для движимого </w:t>
      </w:r>
      <w:proofErr w:type="gramStart"/>
      <w:r w:rsidRPr="008D7DC2">
        <w:t>имущества  –</w:t>
      </w:r>
      <w:proofErr w:type="gramEnd"/>
      <w:r w:rsidRPr="008D7DC2">
        <w:t xml:space="preserve"> не реже 1 раза в год</w:t>
      </w:r>
      <w:r w:rsidR="006A43BE">
        <w:t>.</w:t>
      </w:r>
    </w:p>
    <w:p w14:paraId="3662964A" w14:textId="77777777" w:rsidR="006A43BE" w:rsidRDefault="006A43BE" w:rsidP="008D7DC2">
      <w:pPr>
        <w:pStyle w:val="Default"/>
        <w:ind w:firstLine="709"/>
        <w:jc w:val="both"/>
      </w:pPr>
    </w:p>
    <w:p w14:paraId="63DD60B1" w14:textId="6B4C904D" w:rsidR="000654AA" w:rsidRDefault="000654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348C9FD" w14:textId="77777777" w:rsidR="006A43BE" w:rsidRDefault="006A43BE" w:rsidP="008D7DC2">
      <w:pPr>
        <w:pStyle w:val="Default"/>
        <w:ind w:firstLine="709"/>
        <w:jc w:val="both"/>
      </w:pPr>
    </w:p>
    <w:p w14:paraId="4BB1DB55" w14:textId="77777777" w:rsidR="006A43BE" w:rsidRDefault="006A43BE" w:rsidP="008D7DC2">
      <w:pPr>
        <w:pStyle w:val="Default"/>
        <w:ind w:firstLine="709"/>
        <w:jc w:val="both"/>
      </w:pPr>
    </w:p>
    <w:p w14:paraId="423737CB" w14:textId="759D34DE" w:rsidR="00D52266" w:rsidRPr="00660E41" w:rsidRDefault="00D52266" w:rsidP="00D52266">
      <w:pPr>
        <w:pStyle w:val="Default"/>
        <w:jc w:val="right"/>
      </w:pPr>
      <w:r w:rsidRPr="00660E41">
        <w:t xml:space="preserve">Приложение № 1 к Стандарту Фонда </w:t>
      </w:r>
    </w:p>
    <w:p w14:paraId="5B6450EB" w14:textId="77777777" w:rsidR="00D52266" w:rsidRPr="00660E41" w:rsidRDefault="00D52266" w:rsidP="00D52266">
      <w:pPr>
        <w:pStyle w:val="Default"/>
        <w:jc w:val="right"/>
      </w:pPr>
      <w:r w:rsidRPr="00660E41">
        <w:t xml:space="preserve">Порядок обеспечения возврата займов, </w:t>
      </w:r>
    </w:p>
    <w:p w14:paraId="32812FF9" w14:textId="77777777" w:rsidR="00D52266" w:rsidRPr="00660E41" w:rsidRDefault="00D52266" w:rsidP="00D52266">
      <w:pPr>
        <w:pStyle w:val="Default"/>
        <w:jc w:val="right"/>
      </w:pPr>
      <w:r w:rsidRPr="00660E41">
        <w:t>предоставленных в качестве</w:t>
      </w:r>
    </w:p>
    <w:p w14:paraId="211A2CD0" w14:textId="4A79DE07" w:rsidR="00D52266" w:rsidRDefault="00D52266" w:rsidP="00D52266">
      <w:pPr>
        <w:pStyle w:val="Default"/>
        <w:jc w:val="right"/>
      </w:pPr>
      <w:r w:rsidRPr="00660E41">
        <w:t xml:space="preserve"> финансового обеспечения проектов </w:t>
      </w:r>
    </w:p>
    <w:p w14:paraId="40479AC5" w14:textId="77777777" w:rsidR="000654AA" w:rsidRDefault="000654AA" w:rsidP="00D52266">
      <w:pPr>
        <w:pStyle w:val="Default"/>
        <w:jc w:val="right"/>
      </w:pPr>
    </w:p>
    <w:p w14:paraId="0435FABD" w14:textId="77777777" w:rsidR="00D52266" w:rsidRDefault="00D52266" w:rsidP="00D522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Виды и требования к качеству Основного обеспечения, принимаемого Фондом по финансируемым проектам</w:t>
      </w:r>
    </w:p>
    <w:p w14:paraId="25E0C99A" w14:textId="41A87027" w:rsidR="00486A6B" w:rsidRPr="001B221E" w:rsidRDefault="00D52266" w:rsidP="00D52266">
      <w:pPr>
        <w:pStyle w:val="Default"/>
        <w:jc w:val="center"/>
        <w:rPr>
          <w:b/>
          <w:bCs/>
        </w:rPr>
      </w:pPr>
      <w:r w:rsidRPr="001B221E">
        <w:rPr>
          <w:b/>
          <w:bCs/>
        </w:rPr>
        <w:t>Независимые гарантии и поручительства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3658"/>
        <w:gridCol w:w="1526"/>
        <w:gridCol w:w="4881"/>
      </w:tblGrid>
      <w:tr w:rsidR="00317095" w14:paraId="5366C97B" w14:textId="77777777" w:rsidTr="002A300F">
        <w:tc>
          <w:tcPr>
            <w:tcW w:w="365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6"/>
            </w:tblGrid>
            <w:tr w:rsidR="00317095" w:rsidRPr="00317095" w14:paraId="72B0D890" w14:textId="77777777" w:rsidTr="002421B2">
              <w:trPr>
                <w:trHeight w:val="107"/>
                <w:jc w:val="center"/>
              </w:trPr>
              <w:tc>
                <w:tcPr>
                  <w:tcW w:w="0" w:type="auto"/>
                </w:tcPr>
                <w:p w14:paraId="3BA2E17A" w14:textId="77777777" w:rsidR="00317095" w:rsidRPr="00317095" w:rsidRDefault="00317095" w:rsidP="003170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2" w:name="_Hlk103160260"/>
                  <w:r w:rsidRPr="003170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Вид обеспечения </w:t>
                  </w:r>
                </w:p>
              </w:tc>
            </w:tr>
          </w:tbl>
          <w:p w14:paraId="057104F3" w14:textId="77777777" w:rsidR="00317095" w:rsidRDefault="00317095" w:rsidP="00D522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BD7A2D6" w14:textId="66D49B6F" w:rsidR="00317095" w:rsidRPr="001B221E" w:rsidRDefault="00317095" w:rsidP="0024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B22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Дисконт</w:t>
            </w:r>
            <w:r w:rsidR="001B221E" w:rsidRPr="001B22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</w:t>
            </w:r>
            <w:r w:rsidRPr="001B22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%</w:t>
            </w:r>
          </w:p>
        </w:tc>
        <w:tc>
          <w:tcPr>
            <w:tcW w:w="4881" w:type="dxa"/>
          </w:tcPr>
          <w:p w14:paraId="7A8ECD4C" w14:textId="77777777" w:rsidR="00317095" w:rsidRPr="001B221E" w:rsidRDefault="00317095" w:rsidP="0024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B22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Условия принятия обеспечения</w:t>
            </w:r>
          </w:p>
        </w:tc>
      </w:tr>
      <w:bookmarkEnd w:id="2"/>
      <w:tr w:rsidR="00317095" w14:paraId="13909DD6" w14:textId="77777777" w:rsidTr="002A300F">
        <w:tc>
          <w:tcPr>
            <w:tcW w:w="3658" w:type="dxa"/>
          </w:tcPr>
          <w:p w14:paraId="294C4AAD" w14:textId="23448985" w:rsidR="00317095" w:rsidRPr="009C691F" w:rsidRDefault="00317095" w:rsidP="00470B38">
            <w:pPr>
              <w:pStyle w:val="Default"/>
              <w:jc w:val="both"/>
              <w:rPr>
                <w:sz w:val="23"/>
                <w:szCs w:val="23"/>
              </w:rPr>
            </w:pPr>
            <w:r w:rsidRPr="001B221E">
              <w:rPr>
                <w:b/>
                <w:bCs/>
                <w:sz w:val="23"/>
                <w:szCs w:val="23"/>
              </w:rPr>
              <w:t xml:space="preserve">Независимые гарантии кредитных организаций, </w:t>
            </w:r>
            <w:r w:rsidR="005A5D22" w:rsidRPr="009C691F">
              <w:rPr>
                <w:sz w:val="23"/>
                <w:szCs w:val="23"/>
              </w:rPr>
              <w:t>соответс</w:t>
            </w:r>
            <w:r w:rsidR="009C691F" w:rsidRPr="009C691F">
              <w:rPr>
                <w:sz w:val="23"/>
                <w:szCs w:val="23"/>
              </w:rPr>
              <w:t>твующих критериям оценки устойчивости финансового положения</w:t>
            </w:r>
            <w:r w:rsidRPr="009C691F">
              <w:rPr>
                <w:sz w:val="23"/>
                <w:szCs w:val="23"/>
              </w:rPr>
              <w:t xml:space="preserve">: </w:t>
            </w:r>
          </w:p>
          <w:p w14:paraId="2208D8C7" w14:textId="015B119A" w:rsidR="00317095" w:rsidRDefault="00317095" w:rsidP="00470B3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8711452" w14:textId="77777777" w:rsidR="00317095" w:rsidRDefault="00317095" w:rsidP="00685E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5257950" w14:textId="77777777" w:rsidR="00317095" w:rsidRPr="001B221E" w:rsidRDefault="004D641B" w:rsidP="00D52266">
            <w:pPr>
              <w:pStyle w:val="Default"/>
              <w:jc w:val="center"/>
            </w:pPr>
            <w:r w:rsidRPr="001B221E">
              <w:t>0%</w:t>
            </w:r>
          </w:p>
        </w:tc>
        <w:tc>
          <w:tcPr>
            <w:tcW w:w="4881" w:type="dxa"/>
          </w:tcPr>
          <w:p w14:paraId="79ABBEA3" w14:textId="77777777" w:rsidR="00685EC1" w:rsidRDefault="00685EC1" w:rsidP="00470B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Независимая гарантия кредитной организации должна отвечать условиям: </w:t>
            </w:r>
          </w:p>
          <w:p w14:paraId="4CBD657B" w14:textId="30444A0A" w:rsidR="00685EC1" w:rsidRPr="00470B38" w:rsidRDefault="00685EC1" w:rsidP="00470B38">
            <w:pPr>
              <w:pStyle w:val="Default"/>
              <w:jc w:val="both"/>
              <w:rPr>
                <w:sz w:val="23"/>
                <w:szCs w:val="23"/>
              </w:rPr>
            </w:pPr>
            <w:r w:rsidRPr="00470B38">
              <w:rPr>
                <w:sz w:val="23"/>
                <w:szCs w:val="23"/>
              </w:rPr>
              <w:t xml:space="preserve">• </w:t>
            </w:r>
            <w:r w:rsidR="00470B38">
              <w:rPr>
                <w:sz w:val="23"/>
                <w:szCs w:val="23"/>
              </w:rPr>
              <w:t xml:space="preserve">  </w:t>
            </w:r>
            <w:r w:rsidRPr="00470B38">
              <w:rPr>
                <w:sz w:val="23"/>
                <w:szCs w:val="23"/>
              </w:rPr>
              <w:t xml:space="preserve">безотзывная; </w:t>
            </w:r>
          </w:p>
          <w:p w14:paraId="18EAF9AD" w14:textId="1E7C6D10" w:rsidR="00685EC1" w:rsidRDefault="00685EC1" w:rsidP="00470B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•</w:t>
            </w:r>
            <w:r w:rsidR="00470B38"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срок действия гарантии должен превышать срок обязательства по возврату займа на 1 месяц</w:t>
            </w:r>
            <w:r w:rsidR="001B221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DBF6B9F" w14:textId="386D6D1B" w:rsidR="00317095" w:rsidRDefault="00470B38" w:rsidP="006A43B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О</w:t>
            </w:r>
            <w:r w:rsidR="00685EC1">
              <w:rPr>
                <w:sz w:val="23"/>
                <w:szCs w:val="23"/>
              </w:rPr>
              <w:t>бязательства гаранта могут быть уменьшены на любую сумму, списанную бенефициаром по гарантии. В случае, если условиями договора займа предусмотрена последующая замена гарантии на залог имущества (в том числе оборудования),</w:t>
            </w:r>
            <w:r w:rsidR="001B221E">
              <w:rPr>
                <w:sz w:val="23"/>
                <w:szCs w:val="23"/>
              </w:rPr>
              <w:t xml:space="preserve"> </w:t>
            </w:r>
            <w:r w:rsidR="00685EC1">
              <w:rPr>
                <w:sz w:val="23"/>
                <w:szCs w:val="23"/>
              </w:rPr>
              <w:t>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</w:t>
            </w:r>
            <w:r w:rsidR="001B221E">
              <w:rPr>
                <w:sz w:val="23"/>
                <w:szCs w:val="23"/>
              </w:rPr>
              <w:t>.</w:t>
            </w:r>
          </w:p>
        </w:tc>
      </w:tr>
      <w:tr w:rsidR="00317095" w14:paraId="5FD486CF" w14:textId="77777777" w:rsidTr="002A300F">
        <w:trPr>
          <w:trHeight w:val="3250"/>
        </w:trPr>
        <w:tc>
          <w:tcPr>
            <w:tcW w:w="3658" w:type="dxa"/>
          </w:tcPr>
          <w:p w14:paraId="6649C6A3" w14:textId="33ACB036" w:rsidR="00317095" w:rsidRDefault="00685EC1" w:rsidP="005C23E9">
            <w:pPr>
              <w:pStyle w:val="Default"/>
              <w:jc w:val="both"/>
              <w:rPr>
                <w:sz w:val="28"/>
                <w:szCs w:val="28"/>
              </w:rPr>
            </w:pPr>
            <w:r w:rsidRPr="001B221E">
              <w:rPr>
                <w:b/>
                <w:bCs/>
                <w:sz w:val="23"/>
                <w:szCs w:val="23"/>
              </w:rPr>
              <w:t xml:space="preserve">Поручительства и независимые гарантии Государственной корпорации </w:t>
            </w:r>
            <w:r w:rsidR="005C23E9">
              <w:rPr>
                <w:b/>
                <w:bCs/>
                <w:sz w:val="23"/>
                <w:szCs w:val="23"/>
              </w:rPr>
              <w:t>ВЭБ.РФ</w:t>
            </w:r>
            <w:r w:rsidRPr="001B221E">
              <w:rPr>
                <w:b/>
                <w:bCs/>
                <w:sz w:val="23"/>
                <w:szCs w:val="23"/>
              </w:rPr>
              <w:t>, независимые гарантии кредитных организаций, входящих в Группу Внешэкономбанка</w:t>
            </w:r>
            <w:r>
              <w:rPr>
                <w:sz w:val="23"/>
                <w:szCs w:val="23"/>
              </w:rPr>
              <w:t xml:space="preserve">, </w:t>
            </w:r>
            <w:r w:rsidR="000F0AFD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арегистрированных на территории Российской Федерации. </w:t>
            </w:r>
          </w:p>
        </w:tc>
        <w:tc>
          <w:tcPr>
            <w:tcW w:w="1526" w:type="dxa"/>
          </w:tcPr>
          <w:p w14:paraId="3756593F" w14:textId="77777777" w:rsidR="00317095" w:rsidRPr="001B221E" w:rsidRDefault="004D641B" w:rsidP="00D52266">
            <w:pPr>
              <w:pStyle w:val="Default"/>
              <w:jc w:val="center"/>
            </w:pPr>
            <w:r w:rsidRPr="001B221E">
              <w:t>0%</w:t>
            </w:r>
          </w:p>
        </w:tc>
        <w:tc>
          <w:tcPr>
            <w:tcW w:w="4881" w:type="dxa"/>
          </w:tcPr>
          <w:p w14:paraId="57FB540E" w14:textId="43E5235F" w:rsidR="00317095" w:rsidRDefault="00685EC1" w:rsidP="002E44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Независимая гарантия кредитной организации должна отвечать условиям: безотзывная, обязательства гаранта могут быть уменьшены на любую, списанную бенефициаром по гарантии. Срок действия гарантии должен превышать срок обязательства по возврату займа на 1 месяц. В случае, если условиями договорами займа предусмотрена последующая замена гарантии на иное обеспечение, то срок действия гарантии должен превышать срок, установленный для оформления иного обеспечения, не менее, чем </w:t>
            </w:r>
            <w:r w:rsidR="001B221E">
              <w:rPr>
                <w:sz w:val="23"/>
                <w:szCs w:val="23"/>
              </w:rPr>
              <w:t>на 6 месяце</w:t>
            </w:r>
            <w:r w:rsidR="002421B2">
              <w:rPr>
                <w:sz w:val="23"/>
                <w:szCs w:val="23"/>
              </w:rPr>
              <w:t>в.</w:t>
            </w:r>
          </w:p>
        </w:tc>
      </w:tr>
      <w:tr w:rsidR="00317095" w14:paraId="77BB22FB" w14:textId="77777777" w:rsidTr="002A300F">
        <w:tc>
          <w:tcPr>
            <w:tcW w:w="3658" w:type="dxa"/>
          </w:tcPr>
          <w:tbl>
            <w:tblPr>
              <w:tblW w:w="344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2"/>
            </w:tblGrid>
            <w:tr w:rsidR="00685EC1" w:rsidRPr="002421B2" w14:paraId="0EC6214B" w14:textId="77777777" w:rsidTr="005C23E9">
              <w:trPr>
                <w:trHeight w:val="661"/>
              </w:trPr>
              <w:tc>
                <w:tcPr>
                  <w:tcW w:w="3442" w:type="dxa"/>
                </w:tcPr>
                <w:p w14:paraId="1D9596C7" w14:textId="113162C0" w:rsidR="00685EC1" w:rsidRPr="002421B2" w:rsidRDefault="00685EC1" w:rsidP="000F0A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2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Гарантии</w:t>
                  </w:r>
                  <w:r w:rsidR="005C23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и поручительства АО</w:t>
                  </w:r>
                  <w:r w:rsidR="001B221E"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«Федеральная корпорация по развитию малого</w:t>
                  </w:r>
                  <w:r w:rsidR="001B221E"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 среднего </w:t>
                  </w:r>
                  <w:r w:rsidR="000F0A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</w:t>
                  </w:r>
                  <w:r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редпринимательства», региональных фондов содействия </w:t>
                  </w:r>
                  <w:r w:rsidR="005C23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к</w:t>
                  </w:r>
                  <w:r w:rsidRP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редитованию МСП,</w:t>
                  </w:r>
                  <w:r w:rsidR="002421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АО МСП Банк</w:t>
                  </w:r>
                </w:p>
              </w:tc>
            </w:tr>
          </w:tbl>
          <w:p w14:paraId="61F7FB48" w14:textId="0905914E" w:rsidR="00317095" w:rsidRDefault="00317095" w:rsidP="001B22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16FEC7A" w14:textId="77777777" w:rsidR="00317095" w:rsidRPr="001B221E" w:rsidRDefault="004D641B" w:rsidP="00D52266">
            <w:pPr>
              <w:pStyle w:val="Default"/>
              <w:jc w:val="center"/>
            </w:pPr>
            <w:r w:rsidRPr="001B221E">
              <w:t>0%</w:t>
            </w:r>
          </w:p>
        </w:tc>
        <w:tc>
          <w:tcPr>
            <w:tcW w:w="4881" w:type="dxa"/>
          </w:tcPr>
          <w:p w14:paraId="622D1CEA" w14:textId="3AC6CF92" w:rsidR="00317095" w:rsidRDefault="00685EC1" w:rsidP="002421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Гарантии или поручительства должны быть безотзывными</w:t>
            </w:r>
            <w:r w:rsidR="001B221E">
              <w:rPr>
                <w:sz w:val="23"/>
                <w:szCs w:val="23"/>
              </w:rPr>
              <w:t xml:space="preserve">. Поручительство должно предусматривать </w:t>
            </w:r>
            <w:r w:rsidR="002421B2">
              <w:rPr>
                <w:sz w:val="23"/>
                <w:szCs w:val="23"/>
              </w:rPr>
              <w:t>субсидиарную ответственность поручителя, срок действия поручительства должен превышать срок обязательства по возврату займа на 120 дней.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17095" w14:paraId="040ABB84" w14:textId="77777777" w:rsidTr="000F0AFD">
        <w:trPr>
          <w:trHeight w:val="557"/>
        </w:trPr>
        <w:tc>
          <w:tcPr>
            <w:tcW w:w="3658" w:type="dxa"/>
          </w:tcPr>
          <w:p w14:paraId="77AB8EA2" w14:textId="5830F97C" w:rsidR="00317095" w:rsidRDefault="00685EC1" w:rsidP="002421B2">
            <w:pPr>
              <w:pStyle w:val="Default"/>
              <w:jc w:val="both"/>
              <w:rPr>
                <w:sz w:val="28"/>
                <w:szCs w:val="28"/>
              </w:rPr>
            </w:pPr>
            <w:r w:rsidRPr="002421B2">
              <w:rPr>
                <w:b/>
                <w:bCs/>
                <w:sz w:val="23"/>
                <w:szCs w:val="23"/>
              </w:rPr>
              <w:t>Государственные</w:t>
            </w:r>
            <w:r w:rsidR="000F0AFD">
              <w:rPr>
                <w:b/>
                <w:bCs/>
                <w:sz w:val="23"/>
                <w:szCs w:val="23"/>
              </w:rPr>
              <w:t xml:space="preserve">, </w:t>
            </w:r>
            <w:r w:rsidRPr="002421B2">
              <w:rPr>
                <w:b/>
                <w:bCs/>
                <w:sz w:val="23"/>
                <w:szCs w:val="23"/>
              </w:rPr>
              <w:t xml:space="preserve">муниципальные гарантии субъектов Российской Федерации муниципальных </w:t>
            </w:r>
            <w:r w:rsidRPr="002421B2">
              <w:rPr>
                <w:b/>
                <w:bCs/>
                <w:sz w:val="23"/>
                <w:szCs w:val="23"/>
              </w:rPr>
              <w:lastRenderedPageBreak/>
              <w:t>образований</w:t>
            </w:r>
            <w:r>
              <w:rPr>
                <w:sz w:val="23"/>
                <w:szCs w:val="23"/>
              </w:rPr>
              <w:t xml:space="preserve">), </w:t>
            </w:r>
            <w:r w:rsidR="005C23E9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оответствующие требованиям статей 115-117 Бюджетного Кодекса РФ</w:t>
            </w:r>
          </w:p>
        </w:tc>
        <w:tc>
          <w:tcPr>
            <w:tcW w:w="1526" w:type="dxa"/>
          </w:tcPr>
          <w:p w14:paraId="0B8BCED2" w14:textId="77777777" w:rsidR="00317095" w:rsidRPr="002421B2" w:rsidRDefault="004D641B" w:rsidP="00D52266">
            <w:pPr>
              <w:pStyle w:val="Default"/>
              <w:jc w:val="center"/>
            </w:pPr>
            <w:r w:rsidRPr="002421B2">
              <w:lastRenderedPageBreak/>
              <w:t>0%</w:t>
            </w:r>
          </w:p>
        </w:tc>
        <w:tc>
          <w:tcPr>
            <w:tcW w:w="4881" w:type="dxa"/>
          </w:tcPr>
          <w:p w14:paraId="0D8A0C68" w14:textId="77777777" w:rsidR="00317095" w:rsidRDefault="00317095" w:rsidP="00D522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17095" w14:paraId="52D4776F" w14:textId="77777777" w:rsidTr="000F0AFD">
        <w:trPr>
          <w:trHeight w:val="4520"/>
        </w:trPr>
        <w:tc>
          <w:tcPr>
            <w:tcW w:w="3658" w:type="dxa"/>
          </w:tcPr>
          <w:p w14:paraId="00130A53" w14:textId="5A1A0E49" w:rsidR="00317095" w:rsidRDefault="00685EC1" w:rsidP="002421B2">
            <w:pPr>
              <w:pStyle w:val="Default"/>
              <w:jc w:val="both"/>
              <w:rPr>
                <w:sz w:val="28"/>
                <w:szCs w:val="28"/>
              </w:rPr>
            </w:pPr>
            <w:r w:rsidRPr="00584C3A">
              <w:rPr>
                <w:b/>
                <w:bCs/>
                <w:sz w:val="23"/>
                <w:szCs w:val="23"/>
              </w:rPr>
              <w:t>Поручительства и независимые гарантии юридических лиц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при условии, что юридическое лицо соответствует критериям оценки устойчивости финансового положения </w:t>
            </w:r>
          </w:p>
        </w:tc>
        <w:tc>
          <w:tcPr>
            <w:tcW w:w="1526" w:type="dxa"/>
          </w:tcPr>
          <w:p w14:paraId="757FB990" w14:textId="77777777" w:rsidR="00317095" w:rsidRPr="002421B2" w:rsidRDefault="004D641B" w:rsidP="00D52266">
            <w:pPr>
              <w:pStyle w:val="Default"/>
              <w:jc w:val="center"/>
            </w:pPr>
            <w:r w:rsidRPr="002421B2">
              <w:t>0%</w:t>
            </w:r>
          </w:p>
        </w:tc>
        <w:tc>
          <w:tcPr>
            <w:tcW w:w="4881" w:type="dxa"/>
          </w:tcPr>
          <w:p w14:paraId="29E50A9A" w14:textId="7F83562D" w:rsidR="00317095" w:rsidRDefault="00685EC1" w:rsidP="009C69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Поручительство юридического лица должно предусматривать солидарную ответственность поручителя, срок действия поручительства должен превышать срок обязательства по возврату займа на 1 год. Независимая гарантия юридического лица должна отвечать условиям: безотзывная, обязательства гаранта могут быть уменьшены на любую сумму, списанную бенефициаром по гарантии. Срок действия гарантии должен превышать срок обязательства по возврату займа на 1 месяц.</w:t>
            </w:r>
            <w:r w:rsidR="009C691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случае, если условиями договора займа предусмотрена последующая замена гарантии/ поручительства </w:t>
            </w:r>
            <w:r w:rsidR="00584C3A">
              <w:rPr>
                <w:sz w:val="23"/>
                <w:szCs w:val="23"/>
              </w:rPr>
              <w:t>на иное обеспечение</w:t>
            </w:r>
            <w:r>
              <w:rPr>
                <w:sz w:val="23"/>
                <w:szCs w:val="23"/>
              </w:rPr>
              <w:t>, то срок действия гарантии должен превышать срок, установленный для оформления залога данного имущества, не менее, чем на 6 месяцев</w:t>
            </w:r>
            <w:r w:rsidR="009C691F">
              <w:rPr>
                <w:sz w:val="23"/>
                <w:szCs w:val="23"/>
              </w:rPr>
              <w:t>.</w:t>
            </w:r>
          </w:p>
        </w:tc>
      </w:tr>
    </w:tbl>
    <w:p w14:paraId="79076CA8" w14:textId="7BBA0554" w:rsidR="00CB38EB" w:rsidRDefault="009622D5" w:rsidP="00D52266">
      <w:pPr>
        <w:pStyle w:val="Default"/>
        <w:jc w:val="center"/>
        <w:rPr>
          <w:b/>
          <w:bCs/>
          <w:sz w:val="28"/>
          <w:szCs w:val="28"/>
        </w:rPr>
      </w:pPr>
      <w:r w:rsidRPr="00DD66B4">
        <w:rPr>
          <w:b/>
          <w:bCs/>
          <w:sz w:val="28"/>
          <w:szCs w:val="28"/>
        </w:rPr>
        <w:t>Залог имущества и имущественных прав (за исключением имущества</w:t>
      </w:r>
      <w:proofErr w:type="gramStart"/>
      <w:r w:rsidRPr="00DD66B4">
        <w:rPr>
          <w:b/>
          <w:bCs/>
          <w:sz w:val="28"/>
          <w:szCs w:val="28"/>
        </w:rPr>
        <w:t>.</w:t>
      </w:r>
      <w:proofErr w:type="gramEnd"/>
      <w:r w:rsidRPr="00DD66B4">
        <w:rPr>
          <w:b/>
          <w:bCs/>
          <w:sz w:val="28"/>
          <w:szCs w:val="28"/>
        </w:rPr>
        <w:t xml:space="preserve"> перечисленного в Приложении №</w:t>
      </w:r>
      <w:r w:rsidR="00083167">
        <w:rPr>
          <w:b/>
          <w:bCs/>
          <w:sz w:val="28"/>
          <w:szCs w:val="28"/>
        </w:rPr>
        <w:t xml:space="preserve"> </w:t>
      </w:r>
      <w:r w:rsidRPr="00DD66B4">
        <w:rPr>
          <w:b/>
          <w:bCs/>
          <w:sz w:val="28"/>
          <w:szCs w:val="28"/>
        </w:rPr>
        <w:t>3 к стандарту № СФ-</w:t>
      </w:r>
      <w:r w:rsidR="002A300F">
        <w:rPr>
          <w:b/>
          <w:bCs/>
          <w:sz w:val="28"/>
          <w:szCs w:val="28"/>
        </w:rPr>
        <w:t>3</w:t>
      </w:r>
      <w:r w:rsidRPr="00DD66B4">
        <w:rPr>
          <w:b/>
          <w:bCs/>
          <w:sz w:val="28"/>
          <w:szCs w:val="28"/>
        </w:rPr>
        <w:t>)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3669"/>
        <w:gridCol w:w="1463"/>
        <w:gridCol w:w="4933"/>
      </w:tblGrid>
      <w:tr w:rsidR="005E0AF1" w14:paraId="37AA4333" w14:textId="77777777" w:rsidTr="003356C7">
        <w:tc>
          <w:tcPr>
            <w:tcW w:w="366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6"/>
            </w:tblGrid>
            <w:tr w:rsidR="005E0AF1" w:rsidRPr="00317095" w14:paraId="66F7EEFE" w14:textId="77777777" w:rsidTr="00531A48">
              <w:trPr>
                <w:trHeight w:val="107"/>
                <w:jc w:val="center"/>
              </w:trPr>
              <w:tc>
                <w:tcPr>
                  <w:tcW w:w="0" w:type="auto"/>
                </w:tcPr>
                <w:p w14:paraId="3D61AB5D" w14:textId="77777777" w:rsidR="005E0AF1" w:rsidRPr="00317095" w:rsidRDefault="005E0AF1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170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Вид обеспечения </w:t>
                  </w:r>
                </w:p>
              </w:tc>
            </w:tr>
          </w:tbl>
          <w:p w14:paraId="66E3D590" w14:textId="77777777" w:rsidR="005E0AF1" w:rsidRPr="00DD66B4" w:rsidRDefault="005E0AF1" w:rsidP="005E0AF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63" w:type="dxa"/>
          </w:tcPr>
          <w:p w14:paraId="4D84F19E" w14:textId="509868CE" w:rsidR="005E0AF1" w:rsidRPr="00DD66B4" w:rsidRDefault="005E0AF1" w:rsidP="005E0AF1">
            <w:pPr>
              <w:pStyle w:val="Default"/>
              <w:jc w:val="center"/>
            </w:pPr>
            <w:r w:rsidRPr="001B221E">
              <w:rPr>
                <w:b/>
                <w:bCs/>
                <w:sz w:val="23"/>
                <w:szCs w:val="23"/>
              </w:rPr>
              <w:t>Дисконт в %</w:t>
            </w:r>
          </w:p>
        </w:tc>
        <w:tc>
          <w:tcPr>
            <w:tcW w:w="4933" w:type="dxa"/>
          </w:tcPr>
          <w:p w14:paraId="0036215B" w14:textId="01F97B36" w:rsidR="005E0AF1" w:rsidRDefault="005E0AF1" w:rsidP="005E0AF1">
            <w:pPr>
              <w:pStyle w:val="Default"/>
              <w:jc w:val="both"/>
              <w:rPr>
                <w:sz w:val="23"/>
                <w:szCs w:val="23"/>
              </w:rPr>
            </w:pPr>
            <w:r w:rsidRPr="001B221E">
              <w:rPr>
                <w:b/>
                <w:bCs/>
                <w:sz w:val="23"/>
                <w:szCs w:val="23"/>
              </w:rPr>
              <w:t>Условия принятия обеспечения</w:t>
            </w:r>
          </w:p>
        </w:tc>
      </w:tr>
      <w:tr w:rsidR="005E0AF1" w14:paraId="442D059B" w14:textId="77777777" w:rsidTr="003356C7">
        <w:tc>
          <w:tcPr>
            <w:tcW w:w="3669" w:type="dxa"/>
          </w:tcPr>
          <w:p w14:paraId="13BDFEC2" w14:textId="13BBF7FF" w:rsidR="005E0AF1" w:rsidRPr="00083167" w:rsidRDefault="005E0AF1" w:rsidP="005E0AF1">
            <w:pPr>
              <w:pStyle w:val="Default"/>
              <w:jc w:val="center"/>
              <w:rPr>
                <w:b/>
                <w:bCs/>
              </w:rPr>
            </w:pPr>
            <w:r w:rsidRPr="00083167">
              <w:rPr>
                <w:b/>
                <w:bCs/>
              </w:rPr>
              <w:t>Недвижимое имущество</w:t>
            </w:r>
          </w:p>
        </w:tc>
        <w:tc>
          <w:tcPr>
            <w:tcW w:w="1463" w:type="dxa"/>
          </w:tcPr>
          <w:p w14:paraId="7AE3158A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14:paraId="74BE50C2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E0AF1" w14:paraId="69C1D236" w14:textId="77777777" w:rsidTr="003356C7">
        <w:tc>
          <w:tcPr>
            <w:tcW w:w="3669" w:type="dxa"/>
          </w:tcPr>
          <w:p w14:paraId="0E3CF124" w14:textId="53B376C1" w:rsidR="00775172" w:rsidRDefault="005E0AF1" w:rsidP="00775172">
            <w:pPr>
              <w:pStyle w:val="Default"/>
              <w:jc w:val="both"/>
              <w:rPr>
                <w:sz w:val="28"/>
                <w:szCs w:val="28"/>
              </w:rPr>
            </w:pPr>
            <w:r w:rsidRPr="00EE5554">
              <w:rPr>
                <w:b/>
                <w:bCs/>
                <w:sz w:val="23"/>
                <w:szCs w:val="23"/>
              </w:rPr>
              <w:t>Жилая недвижимость</w:t>
            </w:r>
            <w:r>
              <w:rPr>
                <w:sz w:val="23"/>
                <w:szCs w:val="23"/>
              </w:rPr>
              <w:t xml:space="preserve"> </w:t>
            </w:r>
          </w:p>
          <w:p w14:paraId="52FB9FC9" w14:textId="206E2574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1A2DB438" w14:textId="35678564" w:rsidR="005E0AF1" w:rsidRPr="003356C7" w:rsidRDefault="003356C7" w:rsidP="005E0AF1">
            <w:pPr>
              <w:pStyle w:val="Default"/>
              <w:jc w:val="center"/>
              <w:rPr>
                <w:lang w:val="en-US"/>
              </w:rPr>
            </w:pPr>
            <w:r>
              <w:rPr>
                <w:color w:val="auto"/>
              </w:rPr>
              <w:t>15</w:t>
            </w:r>
            <w:r w:rsidR="005E0AF1" w:rsidRPr="00E60943">
              <w:rPr>
                <w:color w:val="auto"/>
              </w:rPr>
              <w:t>%</w:t>
            </w:r>
            <w:r>
              <w:rPr>
                <w:color w:val="auto"/>
              </w:rPr>
              <w:t>/22,5%</w:t>
            </w:r>
            <w:r>
              <w:rPr>
                <w:color w:val="auto"/>
                <w:lang w:val="en-US"/>
              </w:rPr>
              <w:t>*</w:t>
            </w:r>
          </w:p>
        </w:tc>
        <w:tc>
          <w:tcPr>
            <w:tcW w:w="4933" w:type="dxa"/>
          </w:tcPr>
          <w:p w14:paraId="135BCB09" w14:textId="5629E61F" w:rsidR="00775172" w:rsidRPr="00775172" w:rsidRDefault="00775172" w:rsidP="007751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775172">
              <w:rPr>
                <w:sz w:val="23"/>
                <w:szCs w:val="23"/>
              </w:rPr>
              <w:t xml:space="preserve">вартиры, апартаменты, многоквартирные жилые дома / комплексы, коттеджи, таунхаусы и др.) Права собственности и права долгосрочной аренды на земельные участки, на которых расположены указанные объекты (при условии, что срок аренды превышает не менее, чем на 5 лет срок возврата Займа) в пределах территории Российской Федерации. </w:t>
            </w:r>
          </w:p>
          <w:p w14:paraId="14C46027" w14:textId="4388E393" w:rsidR="00775172" w:rsidRDefault="00775172" w:rsidP="00775172">
            <w:pPr>
              <w:pStyle w:val="Default"/>
              <w:jc w:val="both"/>
              <w:rPr>
                <w:sz w:val="23"/>
                <w:szCs w:val="23"/>
              </w:rPr>
            </w:pPr>
            <w:r w:rsidRPr="00775172">
              <w:rPr>
                <w:sz w:val="23"/>
                <w:szCs w:val="23"/>
              </w:rPr>
              <w:t>Права собственности, права пожизненного наследуемого владения и права долгосрочной аренды на земельные участки, на которых расположены указанные объекты (при условии, что срок аренды превышает не менее, чем на 5 лет срок возврата Займа)</w:t>
            </w:r>
          </w:p>
          <w:p w14:paraId="2C8447C3" w14:textId="708E135C" w:rsidR="005E0AF1" w:rsidRDefault="005E0AF1" w:rsidP="007751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Не принимается в залог недвижимость граждан, на которую, не может быть обращено взыскание </w:t>
            </w:r>
          </w:p>
        </w:tc>
      </w:tr>
      <w:tr w:rsidR="005E0AF1" w14:paraId="47DE369B" w14:textId="77777777" w:rsidTr="003356C7">
        <w:tc>
          <w:tcPr>
            <w:tcW w:w="3669" w:type="dxa"/>
          </w:tcPr>
          <w:p w14:paraId="41F490FA" w14:textId="35C61D6A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  <w:r w:rsidRPr="00EE5554">
              <w:rPr>
                <w:b/>
                <w:bCs/>
                <w:sz w:val="23"/>
                <w:szCs w:val="23"/>
              </w:rPr>
              <w:t>Коммерческая недвижимость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63" w:type="dxa"/>
          </w:tcPr>
          <w:p w14:paraId="5E6A944B" w14:textId="437C7D21" w:rsidR="005E0AF1" w:rsidRPr="003356C7" w:rsidRDefault="005E0AF1" w:rsidP="005E0AF1">
            <w:pPr>
              <w:pStyle w:val="Default"/>
              <w:jc w:val="center"/>
              <w:rPr>
                <w:lang w:val="en-US"/>
              </w:rPr>
            </w:pPr>
            <w:r w:rsidRPr="00E60943">
              <w:rPr>
                <w:color w:val="auto"/>
              </w:rPr>
              <w:t>20%</w:t>
            </w:r>
            <w:r w:rsidR="003356C7">
              <w:rPr>
                <w:color w:val="auto"/>
                <w:lang w:val="en-US"/>
              </w:rPr>
              <w:t>/30%*</w:t>
            </w:r>
          </w:p>
        </w:tc>
        <w:tc>
          <w:tcPr>
            <w:tcW w:w="4933" w:type="dxa"/>
          </w:tcPr>
          <w:p w14:paraId="39C7FA68" w14:textId="128C91E8" w:rsidR="005E0AF1" w:rsidRDefault="00775172" w:rsidP="007751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</w:t>
            </w:r>
            <w:r>
              <w:rPr>
                <w:sz w:val="23"/>
                <w:szCs w:val="23"/>
              </w:rPr>
              <w:lastRenderedPageBreak/>
              <w:t>(жилые, коммерческие, фитнес-центры, АЗС (включая земельный участок, сооружения и оборудование) и др.). Права собственности и права долгосрочной аренды на земельные участки, на которых расположены указанные объекты (при условии, что срок аренды превышает не менее, чем на 5 лет срок возврата Займа)</w:t>
            </w:r>
          </w:p>
        </w:tc>
      </w:tr>
      <w:tr w:rsidR="005E0AF1" w14:paraId="64894A11" w14:textId="77777777" w:rsidTr="003356C7">
        <w:tc>
          <w:tcPr>
            <w:tcW w:w="3669" w:type="dxa"/>
          </w:tcPr>
          <w:p w14:paraId="32E1B572" w14:textId="7CE2B00D" w:rsidR="00775172" w:rsidRDefault="005E0AF1" w:rsidP="00775172">
            <w:pPr>
              <w:pStyle w:val="Default"/>
              <w:jc w:val="both"/>
              <w:rPr>
                <w:sz w:val="28"/>
                <w:szCs w:val="28"/>
              </w:rPr>
            </w:pPr>
            <w:r w:rsidRPr="00775172">
              <w:rPr>
                <w:b/>
                <w:bCs/>
                <w:sz w:val="23"/>
                <w:szCs w:val="23"/>
              </w:rPr>
              <w:lastRenderedPageBreak/>
              <w:t>Промышленная недвижимость</w:t>
            </w:r>
            <w:r>
              <w:rPr>
                <w:sz w:val="23"/>
                <w:szCs w:val="23"/>
              </w:rPr>
              <w:t xml:space="preserve"> </w:t>
            </w:r>
          </w:p>
          <w:p w14:paraId="0603ADE7" w14:textId="5F8FECEB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56332F43" w14:textId="53DE4AB7" w:rsidR="005E0AF1" w:rsidRPr="003356C7" w:rsidRDefault="005E0AF1" w:rsidP="005E0AF1">
            <w:pPr>
              <w:pStyle w:val="Default"/>
              <w:jc w:val="center"/>
              <w:rPr>
                <w:lang w:val="en-US"/>
              </w:rPr>
            </w:pPr>
            <w:r w:rsidRPr="00E60943">
              <w:rPr>
                <w:color w:val="auto"/>
              </w:rPr>
              <w:t>25%</w:t>
            </w:r>
            <w:r w:rsidR="003356C7">
              <w:rPr>
                <w:color w:val="auto"/>
                <w:lang w:val="en-US"/>
              </w:rPr>
              <w:t>/37.5%*</w:t>
            </w:r>
          </w:p>
        </w:tc>
        <w:tc>
          <w:tcPr>
            <w:tcW w:w="4933" w:type="dxa"/>
          </w:tcPr>
          <w:p w14:paraId="04A90DF6" w14:textId="7C0D6A0F" w:rsidR="005E0AF1" w:rsidRDefault="00775172" w:rsidP="00E609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Здания, сооружения, склады, иные объекты недвижимого имущества, предназначенные для выпуска промышленной продукции и /или технологически задействованные в производственной деятельности). Права собственности и права долгосрочной аренды на земельные участки, на которых расположены указанные объекты (при условии, что срок аренды превышает не менее, чем на 5 лет срок возврата займа)</w:t>
            </w:r>
          </w:p>
        </w:tc>
      </w:tr>
      <w:tr w:rsidR="005E0AF1" w14:paraId="282532FE" w14:textId="77777777" w:rsidTr="003356C7">
        <w:tc>
          <w:tcPr>
            <w:tcW w:w="3669" w:type="dxa"/>
          </w:tcPr>
          <w:p w14:paraId="3C1F3D24" w14:textId="4FE89741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  <w:r w:rsidRPr="00AD18DE">
              <w:rPr>
                <w:b/>
                <w:bCs/>
                <w:sz w:val="23"/>
                <w:szCs w:val="23"/>
              </w:rPr>
              <w:t>Объекты незавершенного строительства</w:t>
            </w:r>
            <w:r>
              <w:rPr>
                <w:sz w:val="23"/>
                <w:szCs w:val="23"/>
              </w:rPr>
              <w:t xml:space="preserve">, на которые оформлено право собственности. </w:t>
            </w:r>
          </w:p>
        </w:tc>
        <w:tc>
          <w:tcPr>
            <w:tcW w:w="1463" w:type="dxa"/>
          </w:tcPr>
          <w:p w14:paraId="15795D6F" w14:textId="3BC2405D" w:rsidR="005E0AF1" w:rsidRPr="003356C7" w:rsidRDefault="005E0AF1" w:rsidP="005E0AF1">
            <w:pPr>
              <w:pStyle w:val="Default"/>
              <w:jc w:val="center"/>
              <w:rPr>
                <w:lang w:val="en-US"/>
              </w:rPr>
            </w:pPr>
            <w:r w:rsidRPr="00E60943">
              <w:rPr>
                <w:color w:val="auto"/>
              </w:rPr>
              <w:t>40%</w:t>
            </w:r>
            <w:r w:rsidR="003356C7">
              <w:rPr>
                <w:color w:val="auto"/>
                <w:lang w:val="en-US"/>
              </w:rPr>
              <w:t>/60%*</w:t>
            </w:r>
          </w:p>
        </w:tc>
        <w:tc>
          <w:tcPr>
            <w:tcW w:w="4933" w:type="dxa"/>
          </w:tcPr>
          <w:p w14:paraId="6C021D26" w14:textId="28FF8197" w:rsidR="005E0AF1" w:rsidRDefault="00775172" w:rsidP="002A30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Не могут быть приняты в залог объекты незавершенного строительства с просроченными сроками разрешения на строительство и/или просроченными сроками ввода в эксплуатацию указанного в проектной документации объекта</w:t>
            </w:r>
          </w:p>
        </w:tc>
      </w:tr>
      <w:tr w:rsidR="00E60943" w14:paraId="5B10CB06" w14:textId="77777777" w:rsidTr="003356C7">
        <w:tc>
          <w:tcPr>
            <w:tcW w:w="3669" w:type="dxa"/>
          </w:tcPr>
          <w:p w14:paraId="2815763F" w14:textId="78850B57" w:rsidR="00E60943" w:rsidRPr="00AD18DE" w:rsidRDefault="00E60943" w:rsidP="005E0AF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Земельные участки</w:t>
            </w:r>
          </w:p>
        </w:tc>
        <w:tc>
          <w:tcPr>
            <w:tcW w:w="1463" w:type="dxa"/>
          </w:tcPr>
          <w:p w14:paraId="5A661159" w14:textId="42290AFF" w:rsidR="00E60943" w:rsidRPr="003356C7" w:rsidRDefault="003356C7" w:rsidP="005E0AF1">
            <w:pPr>
              <w:pStyle w:val="Default"/>
              <w:jc w:val="center"/>
              <w:rPr>
                <w:color w:val="FF0000"/>
                <w:lang w:val="en-US"/>
              </w:rPr>
            </w:pPr>
            <w:r>
              <w:rPr>
                <w:color w:val="auto"/>
                <w:lang w:val="en-US"/>
              </w:rPr>
              <w:t>25</w:t>
            </w:r>
            <w:r w:rsidR="00E60943" w:rsidRPr="00E60943">
              <w:rPr>
                <w:color w:val="auto"/>
              </w:rPr>
              <w:t>%</w:t>
            </w:r>
            <w:r>
              <w:rPr>
                <w:color w:val="auto"/>
                <w:lang w:val="en-US"/>
              </w:rPr>
              <w:t>/37.5%*</w:t>
            </w:r>
          </w:p>
        </w:tc>
        <w:tc>
          <w:tcPr>
            <w:tcW w:w="4933" w:type="dxa"/>
          </w:tcPr>
          <w:p w14:paraId="18B46198" w14:textId="3FA2B664" w:rsidR="00E60943" w:rsidRDefault="00E60943" w:rsidP="002A30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</w:t>
            </w:r>
          </w:p>
        </w:tc>
      </w:tr>
      <w:tr w:rsidR="005E0AF1" w14:paraId="430A7CC1" w14:textId="77777777" w:rsidTr="003356C7">
        <w:tc>
          <w:tcPr>
            <w:tcW w:w="3669" w:type="dxa"/>
            <w:vMerge w:val="restart"/>
          </w:tcPr>
          <w:p w14:paraId="621CE746" w14:textId="6217A3CD" w:rsidR="005E0AF1" w:rsidRDefault="005E0AF1" w:rsidP="008E7404">
            <w:pPr>
              <w:pStyle w:val="Default"/>
              <w:jc w:val="both"/>
              <w:rPr>
                <w:sz w:val="28"/>
                <w:szCs w:val="28"/>
              </w:rPr>
            </w:pPr>
            <w:r w:rsidRPr="00FE7BBC">
              <w:rPr>
                <w:b/>
                <w:bCs/>
                <w:sz w:val="23"/>
                <w:szCs w:val="23"/>
              </w:rPr>
              <w:t>Морские суда и суда внутреннего и смешанного плавания</w:t>
            </w:r>
            <w:r>
              <w:rPr>
                <w:sz w:val="23"/>
                <w:szCs w:val="23"/>
              </w:rPr>
              <w:t xml:space="preserve"> (пассажирские</w:t>
            </w:r>
            <w:r w:rsidR="002A300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грузопассажирские суда, танкеры, контейнеровозы, буксиры,</w:t>
            </w:r>
            <w:r w:rsidR="002A300F">
              <w:rPr>
                <w:sz w:val="23"/>
                <w:szCs w:val="23"/>
              </w:rPr>
              <w:t xml:space="preserve"> с</w:t>
            </w:r>
            <w:r>
              <w:rPr>
                <w:sz w:val="23"/>
                <w:szCs w:val="23"/>
              </w:rPr>
              <w:t>пециальные плавсредства (плавкраны, ледоколы) и прочее)</w:t>
            </w:r>
          </w:p>
        </w:tc>
        <w:tc>
          <w:tcPr>
            <w:tcW w:w="1463" w:type="dxa"/>
          </w:tcPr>
          <w:p w14:paraId="09E14D49" w14:textId="3B80C493" w:rsidR="005E0AF1" w:rsidRPr="00E60943" w:rsidRDefault="005E0AF1" w:rsidP="005E0AF1">
            <w:pPr>
              <w:pStyle w:val="Default"/>
              <w:jc w:val="center"/>
              <w:rPr>
                <w:color w:val="auto"/>
              </w:rPr>
            </w:pPr>
            <w:r w:rsidRPr="00E60943">
              <w:rPr>
                <w:color w:val="auto"/>
              </w:rPr>
              <w:t>40%</w:t>
            </w:r>
          </w:p>
        </w:tc>
        <w:tc>
          <w:tcPr>
            <w:tcW w:w="4933" w:type="dxa"/>
          </w:tcPr>
          <w:p w14:paraId="028853FB" w14:textId="452050A1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Возраст судна на дату возврата займа не должен превышать 15 лет </w:t>
            </w:r>
          </w:p>
        </w:tc>
      </w:tr>
      <w:tr w:rsidR="005E0AF1" w14:paraId="0B78CC5A" w14:textId="77777777" w:rsidTr="003356C7">
        <w:tc>
          <w:tcPr>
            <w:tcW w:w="3669" w:type="dxa"/>
            <w:vMerge/>
          </w:tcPr>
          <w:p w14:paraId="0460D747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122F7D23" w14:textId="27AE0BF1" w:rsidR="005E0AF1" w:rsidRPr="00E60943" w:rsidRDefault="005E0AF1" w:rsidP="005E0AF1">
            <w:pPr>
              <w:pStyle w:val="Default"/>
              <w:jc w:val="center"/>
              <w:rPr>
                <w:color w:val="auto"/>
              </w:rPr>
            </w:pPr>
            <w:r w:rsidRPr="00E60943">
              <w:rPr>
                <w:color w:val="auto"/>
              </w:rPr>
              <w:t>50%</w:t>
            </w:r>
          </w:p>
        </w:tc>
        <w:tc>
          <w:tcPr>
            <w:tcW w:w="4933" w:type="dxa"/>
          </w:tcPr>
          <w:p w14:paraId="34CF3032" w14:textId="03C21785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Возраст судна на дату возврата займа должен составлять от 15 до 35 лет включительно </w:t>
            </w:r>
          </w:p>
        </w:tc>
      </w:tr>
      <w:tr w:rsidR="005E0AF1" w14:paraId="2F78C9EB" w14:textId="77777777" w:rsidTr="003356C7">
        <w:tc>
          <w:tcPr>
            <w:tcW w:w="3669" w:type="dxa"/>
          </w:tcPr>
          <w:p w14:paraId="34445889" w14:textId="16BDC946" w:rsidR="005E0AF1" w:rsidRPr="00AD18DE" w:rsidRDefault="005E0AF1" w:rsidP="005E0AF1">
            <w:pPr>
              <w:pStyle w:val="Default"/>
              <w:jc w:val="center"/>
              <w:rPr>
                <w:b/>
                <w:bCs/>
              </w:rPr>
            </w:pPr>
            <w:r w:rsidRPr="00AD18DE">
              <w:rPr>
                <w:b/>
                <w:bCs/>
              </w:rPr>
              <w:t>Движимое имущество</w:t>
            </w:r>
          </w:p>
        </w:tc>
        <w:tc>
          <w:tcPr>
            <w:tcW w:w="1463" w:type="dxa"/>
          </w:tcPr>
          <w:p w14:paraId="3D055051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14:paraId="0FE71762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E0AF1" w14:paraId="6F75A39E" w14:textId="77777777" w:rsidTr="003356C7">
        <w:tc>
          <w:tcPr>
            <w:tcW w:w="36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3"/>
            </w:tblGrid>
            <w:tr w:rsidR="005E0AF1" w:rsidRPr="009622D5" w14:paraId="0457E94E" w14:textId="77777777">
              <w:trPr>
                <w:trHeight w:val="523"/>
              </w:trPr>
              <w:tc>
                <w:tcPr>
                  <w:tcW w:w="0" w:type="auto"/>
                </w:tcPr>
                <w:p w14:paraId="7A11A70B" w14:textId="77777777" w:rsidR="003356C7" w:rsidRDefault="005E0AF1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635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Оборудование</w:t>
                  </w:r>
                </w:p>
                <w:p w14:paraId="14548D4F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308A5DC4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628C2429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776210D1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1EC48D92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113C254F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219683F0" w14:textId="77777777" w:rsidR="003356C7" w:rsidRDefault="003356C7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47E70281" w14:textId="54478802" w:rsidR="005E0AF1" w:rsidRPr="003356C7" w:rsidRDefault="005E0AF1" w:rsidP="005E0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635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прочие машины и прочее оборудование</w:t>
                  </w:r>
                  <w:r w:rsidR="003356C7" w:rsidRPr="003356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(</w:t>
                  </w:r>
                  <w:r w:rsidR="003356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узкоспециализированное оборудование, прочие машины)</w:t>
                  </w:r>
                </w:p>
              </w:tc>
            </w:tr>
          </w:tbl>
          <w:p w14:paraId="48390660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4964C66B" w14:textId="77777777" w:rsidR="003356C7" w:rsidRDefault="003356C7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C43A186" w14:textId="77777777" w:rsidR="003356C7" w:rsidRDefault="003356C7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B9E1207" w14:textId="3A1CC1CD" w:rsidR="003356C7" w:rsidRDefault="003356C7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59173A51" w14:textId="0ABE533D" w:rsidR="005E0AF1" w:rsidRDefault="003356C7" w:rsidP="005E0A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25</w:t>
            </w:r>
            <w:r w:rsidR="005E0AF1" w:rsidRPr="00E60943">
              <w:rPr>
                <w:color w:val="auto"/>
              </w:rPr>
              <w:t>%</w:t>
            </w:r>
            <w:r>
              <w:rPr>
                <w:color w:val="auto"/>
              </w:rPr>
              <w:t>/37,5%*</w:t>
            </w:r>
          </w:p>
          <w:p w14:paraId="428BF08D" w14:textId="0D981D34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1FA50E69" w14:textId="1A26A6AB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57D49D66" w14:textId="12A74380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35D53920" w14:textId="4FFD603C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4661AEF2" w14:textId="2C8148E4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76D61789" w14:textId="0E51D244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73FC38F7" w14:textId="2E2259C3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</w:p>
          <w:p w14:paraId="76DA5565" w14:textId="234DAB65" w:rsidR="003356C7" w:rsidRDefault="003356C7" w:rsidP="005E0A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35%/52,5%*</w:t>
            </w:r>
          </w:p>
          <w:p w14:paraId="3A267554" w14:textId="6A8DB2F4" w:rsidR="003356C7" w:rsidRPr="00D63551" w:rsidRDefault="003356C7" w:rsidP="005E0AF1">
            <w:pPr>
              <w:pStyle w:val="Default"/>
              <w:jc w:val="center"/>
            </w:pPr>
          </w:p>
        </w:tc>
        <w:tc>
          <w:tcPr>
            <w:tcW w:w="4933" w:type="dxa"/>
          </w:tcPr>
          <w:p w14:paraId="706FE8BC" w14:textId="416C6A65" w:rsidR="005E0AF1" w:rsidRDefault="005E0AF1" w:rsidP="005E0A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залог принимается технологическое оборудование, прочие машины и оборудование, при выполнении любого из следующих условий: </w:t>
            </w:r>
          </w:p>
          <w:p w14:paraId="132CAAFA" w14:textId="77A9E382" w:rsidR="005E0AF1" w:rsidRDefault="005E0AF1" w:rsidP="005E0A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оборудование, полностью оплачено, приняты к бухгалтерскому учету и введено в эксплуатацию. </w:t>
            </w:r>
          </w:p>
          <w:p w14:paraId="33A7E2EE" w14:textId="5DF2293B" w:rsidR="005E0AF1" w:rsidRDefault="006A43BE" w:rsidP="005E0A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5E0AF1">
              <w:rPr>
                <w:sz w:val="23"/>
                <w:szCs w:val="23"/>
              </w:rPr>
              <w:t xml:space="preserve">борудование, приобретается Заемщиком в собственность в рамках реализации проекта, полностью не оплачено, при этом продавец (поставщик) отказался от прав залога в соответствии со ст. 488 ГК РФ. </w:t>
            </w:r>
          </w:p>
          <w:p w14:paraId="3F710FBD" w14:textId="1A3384D6" w:rsidR="005E0AF1" w:rsidRDefault="008E7404" w:rsidP="005E0A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О</w:t>
            </w:r>
            <w:r w:rsidR="005E0AF1">
              <w:rPr>
                <w:sz w:val="23"/>
                <w:szCs w:val="23"/>
              </w:rPr>
              <w:t xml:space="preserve">борудование, приобретается Заемщиком в собственность в рамках реализации проекта, </w:t>
            </w:r>
            <w:r w:rsidR="005E0AF1">
              <w:rPr>
                <w:sz w:val="23"/>
                <w:szCs w:val="23"/>
              </w:rPr>
              <w:lastRenderedPageBreak/>
              <w:t>полностью не оплачено, при этом передается в залог Фонду продавцом (поставщиком) до перехода права собственности к Заемщику</w:t>
            </w:r>
          </w:p>
        </w:tc>
      </w:tr>
      <w:tr w:rsidR="003356C7" w14:paraId="757DBBC2" w14:textId="77777777" w:rsidTr="003356C7">
        <w:tc>
          <w:tcPr>
            <w:tcW w:w="3669" w:type="dxa"/>
            <w:vMerge w:val="restart"/>
          </w:tcPr>
          <w:p w14:paraId="0F12DC10" w14:textId="5DEDAFFC" w:rsidR="003356C7" w:rsidRDefault="003356C7" w:rsidP="005E0AF1">
            <w:pPr>
              <w:pStyle w:val="Default"/>
              <w:rPr>
                <w:sz w:val="23"/>
                <w:szCs w:val="23"/>
              </w:rPr>
            </w:pPr>
            <w:r w:rsidRPr="004F3F9D">
              <w:rPr>
                <w:b/>
                <w:bCs/>
                <w:sz w:val="23"/>
                <w:szCs w:val="23"/>
              </w:rPr>
              <w:lastRenderedPageBreak/>
              <w:t>Транспортные средства</w:t>
            </w:r>
            <w:r w:rsidRPr="009622D5">
              <w:rPr>
                <w:sz w:val="23"/>
                <w:szCs w:val="23"/>
              </w:rPr>
              <w:t xml:space="preserve"> (автотранспорт, спецтехника и самоходные механизмы</w:t>
            </w:r>
            <w:r>
              <w:rPr>
                <w:sz w:val="23"/>
                <w:szCs w:val="23"/>
              </w:rPr>
              <w:t xml:space="preserve">, прицепы, подвижной состав и прочие транспортные средства) </w:t>
            </w:r>
          </w:p>
          <w:p w14:paraId="6191086F" w14:textId="77777777" w:rsidR="003356C7" w:rsidRDefault="003356C7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13FD7420" w14:textId="5B1011EC" w:rsidR="003356C7" w:rsidRDefault="003356C7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14:paraId="68A74E8F" w14:textId="2222E083" w:rsidR="003356C7" w:rsidRDefault="003356C7" w:rsidP="005E0A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Транспортное средство должно быть полностью оплачено, принято к бухгалтерскому учету и введено в эксплуатацию Залогодателем</w:t>
            </w:r>
          </w:p>
        </w:tc>
      </w:tr>
      <w:tr w:rsidR="003356C7" w14:paraId="5C7E9DDC" w14:textId="77777777" w:rsidTr="003356C7">
        <w:tc>
          <w:tcPr>
            <w:tcW w:w="3669" w:type="dxa"/>
            <w:vMerge/>
          </w:tcPr>
          <w:p w14:paraId="7398EC52" w14:textId="22344861" w:rsidR="003356C7" w:rsidRDefault="003356C7" w:rsidP="005E0AF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3" w:type="dxa"/>
          </w:tcPr>
          <w:p w14:paraId="4CAF06E4" w14:textId="73C0D63B" w:rsidR="003356C7" w:rsidRPr="008E7404" w:rsidRDefault="003356C7" w:rsidP="005E0AF1">
            <w:pPr>
              <w:pStyle w:val="Default"/>
              <w:jc w:val="center"/>
              <w:rPr>
                <w:color w:val="FF0000"/>
              </w:rPr>
            </w:pPr>
            <w:r w:rsidRPr="00E60943">
              <w:rPr>
                <w:color w:val="auto"/>
              </w:rPr>
              <w:t>30%</w:t>
            </w:r>
            <w:r w:rsidR="00EE11D9">
              <w:rPr>
                <w:color w:val="auto"/>
              </w:rPr>
              <w:t>/45%*</w:t>
            </w:r>
          </w:p>
        </w:tc>
        <w:tc>
          <w:tcPr>
            <w:tcW w:w="4933" w:type="dxa"/>
          </w:tcPr>
          <w:p w14:paraId="71A83177" w14:textId="2D580BEA" w:rsidR="003356C7" w:rsidRDefault="003356C7" w:rsidP="005E0A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транспортного средства не ранее 3-х лет выпуска до даты рассмотрения заявки</w:t>
            </w:r>
          </w:p>
        </w:tc>
      </w:tr>
      <w:tr w:rsidR="003356C7" w14:paraId="4BDC71E3" w14:textId="77777777" w:rsidTr="003356C7">
        <w:tc>
          <w:tcPr>
            <w:tcW w:w="3669" w:type="dxa"/>
            <w:vMerge/>
          </w:tcPr>
          <w:p w14:paraId="377847A1" w14:textId="77777777" w:rsidR="003356C7" w:rsidRDefault="003356C7" w:rsidP="005E0AF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3" w:type="dxa"/>
          </w:tcPr>
          <w:p w14:paraId="1C60BE70" w14:textId="6F29BEB1" w:rsidR="003356C7" w:rsidRPr="008E7404" w:rsidRDefault="00EE11D9" w:rsidP="005E0AF1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35</w:t>
            </w:r>
            <w:r w:rsidR="003356C7" w:rsidRPr="00E60943">
              <w:rPr>
                <w:color w:val="auto"/>
              </w:rPr>
              <w:t>%</w:t>
            </w:r>
            <w:r>
              <w:rPr>
                <w:color w:val="auto"/>
              </w:rPr>
              <w:t>/52,5%*</w:t>
            </w:r>
          </w:p>
        </w:tc>
        <w:tc>
          <w:tcPr>
            <w:tcW w:w="4933" w:type="dxa"/>
          </w:tcPr>
          <w:p w14:paraId="46768516" w14:textId="35EF15B2" w:rsidR="003356C7" w:rsidRDefault="003356C7" w:rsidP="005E0A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транспортного средства не ранее 7</w:t>
            </w:r>
            <w:r w:rsidR="00ED3EA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лет выпуска до даты рассмотрения заявки</w:t>
            </w:r>
          </w:p>
        </w:tc>
      </w:tr>
      <w:tr w:rsidR="003356C7" w14:paraId="4500C9DF" w14:textId="77777777" w:rsidTr="003356C7">
        <w:tc>
          <w:tcPr>
            <w:tcW w:w="3669" w:type="dxa"/>
            <w:vMerge/>
          </w:tcPr>
          <w:p w14:paraId="30B3AD38" w14:textId="77777777" w:rsidR="003356C7" w:rsidRDefault="003356C7" w:rsidP="005E0AF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3" w:type="dxa"/>
          </w:tcPr>
          <w:p w14:paraId="78091B3A" w14:textId="683536E7" w:rsidR="003356C7" w:rsidRPr="00E60943" w:rsidRDefault="00EE11D9" w:rsidP="005E0A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40%/60%*</w:t>
            </w:r>
          </w:p>
        </w:tc>
        <w:tc>
          <w:tcPr>
            <w:tcW w:w="4933" w:type="dxa"/>
          </w:tcPr>
          <w:p w14:paraId="106670C4" w14:textId="6AA2E54E" w:rsidR="003356C7" w:rsidRDefault="00EE11D9" w:rsidP="005E0A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транспортного средства ранее 7 лет выпуска до даты рассмотрения заявки и иных транспортных средств</w:t>
            </w:r>
          </w:p>
        </w:tc>
      </w:tr>
      <w:tr w:rsidR="005E0AF1" w14:paraId="131F0DCE" w14:textId="77777777" w:rsidTr="003356C7">
        <w:tc>
          <w:tcPr>
            <w:tcW w:w="3669" w:type="dxa"/>
          </w:tcPr>
          <w:p w14:paraId="59B3DA00" w14:textId="0CA5B3FA" w:rsidR="005E0AF1" w:rsidRPr="004F3F9D" w:rsidRDefault="005E0AF1" w:rsidP="005E0A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F3F9D">
              <w:rPr>
                <w:b/>
                <w:bCs/>
              </w:rPr>
              <w:t>Прочее</w:t>
            </w:r>
          </w:p>
        </w:tc>
        <w:tc>
          <w:tcPr>
            <w:tcW w:w="1463" w:type="dxa"/>
          </w:tcPr>
          <w:p w14:paraId="63BF1EF2" w14:textId="77777777" w:rsidR="005E0AF1" w:rsidRDefault="005E0AF1" w:rsidP="005E0A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14:paraId="361307CD" w14:textId="77777777" w:rsidR="005E0AF1" w:rsidRDefault="005E0AF1" w:rsidP="005E0AF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E0AF1" w14:paraId="33B654CA" w14:textId="77777777" w:rsidTr="003356C7">
        <w:tc>
          <w:tcPr>
            <w:tcW w:w="3669" w:type="dxa"/>
          </w:tcPr>
          <w:p w14:paraId="06C2CDFD" w14:textId="77D17A35" w:rsidR="005E0AF1" w:rsidRPr="005E0AF1" w:rsidRDefault="005E0AF1" w:rsidP="005E0AF1">
            <w:pPr>
              <w:pStyle w:val="Default"/>
              <w:rPr>
                <w:b/>
                <w:bCs/>
              </w:rPr>
            </w:pPr>
            <w:r w:rsidRPr="005E0AF1">
              <w:rPr>
                <w:b/>
                <w:bCs/>
                <w:sz w:val="23"/>
                <w:szCs w:val="23"/>
              </w:rPr>
              <w:t>Обеспечительный платеж</w:t>
            </w:r>
          </w:p>
        </w:tc>
        <w:tc>
          <w:tcPr>
            <w:tcW w:w="1463" w:type="dxa"/>
          </w:tcPr>
          <w:p w14:paraId="7A651183" w14:textId="6B26ADAF" w:rsidR="005E0AF1" w:rsidRPr="005E0AF1" w:rsidRDefault="005E0AF1" w:rsidP="005E0AF1">
            <w:pPr>
              <w:pStyle w:val="Default"/>
              <w:jc w:val="center"/>
            </w:pPr>
            <w:r w:rsidRPr="005E0AF1">
              <w:t>0%</w:t>
            </w:r>
          </w:p>
        </w:tc>
        <w:tc>
          <w:tcPr>
            <w:tcW w:w="4933" w:type="dxa"/>
          </w:tcPr>
          <w:p w14:paraId="125DCE0C" w14:textId="7610DF19" w:rsidR="005E0AF1" w:rsidRDefault="005E0AF1" w:rsidP="005E0AF1">
            <w:pPr>
              <w:pStyle w:val="Default"/>
              <w:jc w:val="both"/>
              <w:rPr>
                <w:sz w:val="28"/>
                <w:szCs w:val="28"/>
              </w:rPr>
            </w:pPr>
            <w:r w:rsidRPr="005E0AF1">
              <w:rPr>
                <w:sz w:val="23"/>
                <w:szCs w:val="23"/>
              </w:rPr>
              <w:t>Внесение на счет Фонда денежной суммы (проценты, установленные ст. 317.1 ГК РФ не начисляются)</w:t>
            </w:r>
          </w:p>
        </w:tc>
      </w:tr>
      <w:tr w:rsidR="009C691F" w14:paraId="7EE704A9" w14:textId="77777777" w:rsidTr="003356C7">
        <w:tc>
          <w:tcPr>
            <w:tcW w:w="3669" w:type="dxa"/>
          </w:tcPr>
          <w:p w14:paraId="766D6034" w14:textId="3220A1F1" w:rsidR="009C691F" w:rsidRPr="005E0AF1" w:rsidRDefault="009C691F" w:rsidP="002A300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D66B4">
              <w:rPr>
                <w:b/>
                <w:bCs/>
                <w:sz w:val="23"/>
                <w:szCs w:val="23"/>
              </w:rPr>
              <w:t>Драгоценные металлы,</w:t>
            </w:r>
            <w:r>
              <w:rPr>
                <w:sz w:val="23"/>
                <w:szCs w:val="23"/>
              </w:rPr>
              <w:t xml:space="preserve"> в стандартных и /или мерных слитках, соответствующие государственным и отраслевым стандартам Российской Федерации и международным стандартам качества, а также драгоценные металлы, отражаемые на обезличенных металлических счетах </w:t>
            </w:r>
          </w:p>
        </w:tc>
        <w:tc>
          <w:tcPr>
            <w:tcW w:w="1463" w:type="dxa"/>
          </w:tcPr>
          <w:p w14:paraId="5D109AAF" w14:textId="6B393A85" w:rsidR="009C691F" w:rsidRPr="005E0AF1" w:rsidRDefault="009C691F" w:rsidP="009C691F">
            <w:pPr>
              <w:pStyle w:val="Default"/>
              <w:jc w:val="center"/>
            </w:pPr>
            <w:r w:rsidRPr="00DD66B4">
              <w:t>0%</w:t>
            </w:r>
          </w:p>
        </w:tc>
        <w:tc>
          <w:tcPr>
            <w:tcW w:w="4933" w:type="dxa"/>
          </w:tcPr>
          <w:p w14:paraId="610B05B6" w14:textId="0D86FE93" w:rsidR="009C691F" w:rsidRPr="005E0AF1" w:rsidRDefault="009C691F" w:rsidP="009C69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Обязательное хранение закладываемого имущества в кредитных организациях, в которых могут быть открыты счета по учету средств займа, размещены временно свободные средства фонда.</w:t>
            </w:r>
          </w:p>
        </w:tc>
      </w:tr>
    </w:tbl>
    <w:p w14:paraId="37E86315" w14:textId="573E838F" w:rsidR="00995D01" w:rsidRPr="00CF4E6E" w:rsidRDefault="00CF4E6E" w:rsidP="00CF4E6E">
      <w:pPr>
        <w:pStyle w:val="Default"/>
        <w:ind w:left="360"/>
        <w:jc w:val="both"/>
        <w:rPr>
          <w:sz w:val="20"/>
          <w:szCs w:val="20"/>
        </w:rPr>
      </w:pPr>
      <w:r w:rsidRPr="00CF4E6E">
        <w:rPr>
          <w:sz w:val="20"/>
          <w:szCs w:val="20"/>
        </w:rPr>
        <w:t>*Применяется к значимому имуществу, не отвечающему требованиям Стандарта ликвидности обеспечения п</w:t>
      </w:r>
      <w:r>
        <w:rPr>
          <w:sz w:val="20"/>
          <w:szCs w:val="20"/>
        </w:rPr>
        <w:t xml:space="preserve"> </w:t>
      </w:r>
      <w:r w:rsidRPr="00CF4E6E">
        <w:rPr>
          <w:sz w:val="20"/>
          <w:szCs w:val="20"/>
        </w:rPr>
        <w:t>3.4</w:t>
      </w:r>
      <w:r>
        <w:rPr>
          <w:sz w:val="20"/>
          <w:szCs w:val="20"/>
        </w:rPr>
        <w:t>.</w:t>
      </w:r>
    </w:p>
    <w:p w14:paraId="77383512" w14:textId="3BF2C45B" w:rsidR="000654AA" w:rsidRDefault="000654AA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2A0136A" w14:textId="4258DC84" w:rsidR="00995D01" w:rsidRDefault="00995D01" w:rsidP="00995D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 устойчивости финансового положения кредитных организаций.</w:t>
      </w:r>
    </w:p>
    <w:p w14:paraId="7A524BD1" w14:textId="77777777" w:rsidR="00995D01" w:rsidRDefault="00995D01" w:rsidP="00995D01">
      <w:pPr>
        <w:pStyle w:val="Default"/>
        <w:jc w:val="center"/>
        <w:rPr>
          <w:b/>
          <w:bCs/>
          <w:sz w:val="28"/>
          <w:szCs w:val="28"/>
        </w:rPr>
      </w:pPr>
    </w:p>
    <w:p w14:paraId="3FFA62C5" w14:textId="7829FCE3" w:rsidR="00995D01" w:rsidRPr="003C0E61" w:rsidRDefault="00995D01" w:rsidP="008E7404">
      <w:pPr>
        <w:pStyle w:val="Default"/>
        <w:ind w:firstLine="567"/>
        <w:jc w:val="both"/>
      </w:pPr>
      <w:r w:rsidRPr="003C0E61">
        <w:t>Финансовое положение кредитной организации может быть оценено как устойчивое для целей принятия в обеспечение ее независимой гарантии, если кредитная организация относится к одной из следующих категорий:</w:t>
      </w:r>
    </w:p>
    <w:p w14:paraId="0E34A50A" w14:textId="428F5CB1" w:rsidR="00995D01" w:rsidRPr="003C0E61" w:rsidRDefault="00995D01" w:rsidP="008E7404">
      <w:pPr>
        <w:pStyle w:val="Default"/>
        <w:numPr>
          <w:ilvl w:val="0"/>
          <w:numId w:val="6"/>
        </w:numPr>
        <w:ind w:left="0" w:firstLine="567"/>
        <w:jc w:val="both"/>
      </w:pPr>
      <w:r w:rsidRPr="003C0E61">
        <w:t>кредитные организации,</w:t>
      </w:r>
      <w:r w:rsidR="003C0E61">
        <w:t xml:space="preserve"> которые на основании информации, публикуемой на официальном сайте Банка России в разделе «Информация по кредитным организациям»</w:t>
      </w:r>
      <w:r w:rsidRPr="003C0E61">
        <w:t xml:space="preserve"> соответствующие следующим критериям:</w:t>
      </w:r>
    </w:p>
    <w:p w14:paraId="14AC1A25" w14:textId="652E4870" w:rsidR="00995D01" w:rsidRPr="003C0E61" w:rsidRDefault="00995D01" w:rsidP="008E7404">
      <w:pPr>
        <w:pStyle w:val="Default"/>
        <w:ind w:firstLine="567"/>
        <w:jc w:val="both"/>
      </w:pPr>
      <w:r w:rsidRPr="003C0E61">
        <w:t>• наличие генеральной</w:t>
      </w:r>
      <w:r w:rsidR="00B24080" w:rsidRPr="003C0E61">
        <w:t>/универсальной</w:t>
      </w:r>
      <w:r w:rsidRPr="003C0E61">
        <w:t xml:space="preserve"> лицензии Центрального Банка РФ; </w:t>
      </w:r>
    </w:p>
    <w:p w14:paraId="2973C90C" w14:textId="77777777" w:rsidR="00995D01" w:rsidRPr="003C0E61" w:rsidRDefault="00995D01" w:rsidP="008E7404">
      <w:pPr>
        <w:pStyle w:val="Default"/>
        <w:ind w:firstLine="567"/>
        <w:jc w:val="both"/>
      </w:pPr>
      <w:r w:rsidRPr="003C0E61">
        <w:t xml:space="preserve">•  собственные средства(капитал) в размере не менее 25 млрд. рублей; </w:t>
      </w:r>
    </w:p>
    <w:p w14:paraId="59F48F66" w14:textId="53F7D471" w:rsidR="00995D01" w:rsidRPr="003C0E61" w:rsidRDefault="00995D01" w:rsidP="008E7404">
      <w:pPr>
        <w:pStyle w:val="Default"/>
        <w:ind w:firstLine="567"/>
        <w:jc w:val="both"/>
      </w:pPr>
      <w:r w:rsidRPr="003C0E61">
        <w:t>•</w:t>
      </w:r>
      <w:r w:rsidR="003C0E61">
        <w:t xml:space="preserve"> </w:t>
      </w:r>
      <w:r w:rsidRPr="003C0E61">
        <w:t xml:space="preserve"> участие в системе обязательного страхования вкладов; </w:t>
      </w:r>
    </w:p>
    <w:p w14:paraId="162E252F" w14:textId="791D41D2" w:rsidR="00995D01" w:rsidRDefault="00995D01" w:rsidP="008E7404">
      <w:pPr>
        <w:pStyle w:val="Default"/>
        <w:ind w:firstLine="567"/>
        <w:jc w:val="both"/>
      </w:pPr>
      <w:r w:rsidRPr="003C0E61">
        <w:t xml:space="preserve">• включение в перечень кредитных организаций, </w:t>
      </w:r>
      <w:r w:rsidR="00B24080" w:rsidRPr="003C0E61">
        <w:t>соответствующих требованиям, установленным частями 1-1.2 и1.5 статьи 2 Федерального закона от 21.07.2014 №213-ФЗ, пунктом 8 и абзацем первым, вторым и пятым пунк</w:t>
      </w:r>
      <w:r w:rsidR="003C0E61" w:rsidRPr="003C0E61">
        <w:t>та 9 статьи 24.1 Федерального закона от 14.11.2002 № 161-ФЗ и Постановлением Правительства Российской Федерации от 20.06.2018 № 706.</w:t>
      </w:r>
      <w:r w:rsidRPr="003C0E61">
        <w:t xml:space="preserve"> </w:t>
      </w:r>
    </w:p>
    <w:p w14:paraId="72730D52" w14:textId="743E1D8C" w:rsidR="00A141DA" w:rsidRDefault="00A141DA" w:rsidP="00A141DA">
      <w:pPr>
        <w:pStyle w:val="Default"/>
        <w:numPr>
          <w:ilvl w:val="0"/>
          <w:numId w:val="6"/>
        </w:numPr>
        <w:jc w:val="both"/>
      </w:pPr>
      <w:r w:rsidRPr="003C0E61">
        <w:t>кредитные организации,</w:t>
      </w:r>
      <w:r>
        <w:t xml:space="preserve"> </w:t>
      </w:r>
      <w:r w:rsidRPr="003C0E61">
        <w:t xml:space="preserve">соответствующие </w:t>
      </w:r>
      <w:r w:rsidR="00002FD0">
        <w:t xml:space="preserve">одновременно </w:t>
      </w:r>
      <w:r w:rsidRPr="003C0E61">
        <w:t>следующим критериям:</w:t>
      </w:r>
    </w:p>
    <w:p w14:paraId="74CAB3E8" w14:textId="5259EFDC" w:rsidR="00A141DA" w:rsidRDefault="00A141DA" w:rsidP="00A141DA">
      <w:pPr>
        <w:pStyle w:val="Default"/>
        <w:ind w:left="825"/>
        <w:jc w:val="both"/>
      </w:pPr>
      <w:r w:rsidRPr="003C0E61">
        <w:t xml:space="preserve">• наличие </w:t>
      </w:r>
      <w:r w:rsidR="000D1C21">
        <w:t>базовой</w:t>
      </w:r>
      <w:r w:rsidRPr="003C0E61">
        <w:t xml:space="preserve"> лицензии Центрального Банка РФ; </w:t>
      </w:r>
    </w:p>
    <w:p w14:paraId="265AC106" w14:textId="77777777" w:rsidR="00A1303A" w:rsidRDefault="00A1303A" w:rsidP="00A1303A">
      <w:pPr>
        <w:pStyle w:val="Default"/>
        <w:ind w:left="825"/>
        <w:jc w:val="both"/>
      </w:pPr>
      <w:r w:rsidRPr="003C0E61">
        <w:t>•</w:t>
      </w:r>
      <w:r>
        <w:t xml:space="preserve"> </w:t>
      </w:r>
      <w:r w:rsidRPr="003C0E61">
        <w:t xml:space="preserve"> участие в системе обязательного страхования вкладов; </w:t>
      </w:r>
    </w:p>
    <w:p w14:paraId="1F64C8B7" w14:textId="7A609544" w:rsidR="00A141DA" w:rsidRPr="003C0E61" w:rsidRDefault="00A141DA" w:rsidP="00A141DA">
      <w:pPr>
        <w:pStyle w:val="Default"/>
        <w:ind w:left="825"/>
        <w:jc w:val="both"/>
      </w:pPr>
      <w:r w:rsidRPr="003C0E61">
        <w:t xml:space="preserve">•  собственные средства(капитал) в размере не менее </w:t>
      </w:r>
      <w:r>
        <w:t>400</w:t>
      </w:r>
      <w:r w:rsidRPr="003C0E61">
        <w:t xml:space="preserve"> м</w:t>
      </w:r>
      <w:r>
        <w:t>лн</w:t>
      </w:r>
      <w:r w:rsidRPr="003C0E61">
        <w:t xml:space="preserve">. рублей; </w:t>
      </w:r>
    </w:p>
    <w:p w14:paraId="093EF14A" w14:textId="77777777" w:rsidR="007C6D83" w:rsidRDefault="00A141DA" w:rsidP="007C6D83">
      <w:pPr>
        <w:pStyle w:val="Default"/>
        <w:ind w:left="825"/>
        <w:jc w:val="both"/>
      </w:pPr>
      <w:r w:rsidRPr="003C0E61">
        <w:t>•</w:t>
      </w:r>
      <w:r>
        <w:t xml:space="preserve"> </w:t>
      </w:r>
      <w:r w:rsidRPr="003C0E61">
        <w:t xml:space="preserve"> </w:t>
      </w:r>
      <w:r>
        <w:t>центральный офис кредитной организации зарегистрирован на территории Красноярского края.</w:t>
      </w:r>
    </w:p>
    <w:p w14:paraId="692DB243" w14:textId="5DC36FBA" w:rsidR="007C6D83" w:rsidRDefault="007C6D83" w:rsidP="007C6D83">
      <w:pPr>
        <w:pStyle w:val="Default"/>
        <w:ind w:left="825"/>
        <w:jc w:val="both"/>
      </w:pPr>
      <w:r w:rsidRPr="003C0E61">
        <w:t>•</w:t>
      </w:r>
      <w:r>
        <w:t xml:space="preserve"> Сумма каждой гарантии не более 25 000 000 (Двадцати пяти миллионов) рублей;</w:t>
      </w:r>
    </w:p>
    <w:p w14:paraId="341017F9" w14:textId="10D79BB8" w:rsidR="007C6D83" w:rsidRPr="003C0E61" w:rsidRDefault="007C6D83" w:rsidP="007C6D83">
      <w:pPr>
        <w:pStyle w:val="Default"/>
        <w:ind w:left="825"/>
        <w:jc w:val="both"/>
      </w:pPr>
      <w:r w:rsidRPr="003C0E61">
        <w:t>•</w:t>
      </w:r>
      <w:r>
        <w:t xml:space="preserve"> Общая сумма одновременно действующих гарантий одной кредитной организации – не более 100 000 000 (Ста миллионов) рублей.</w:t>
      </w:r>
    </w:p>
    <w:p w14:paraId="395BA0A5" w14:textId="77777777" w:rsidR="00A141DA" w:rsidRPr="003C0E61" w:rsidRDefault="00A141DA" w:rsidP="008E7404">
      <w:pPr>
        <w:pStyle w:val="Default"/>
        <w:ind w:firstLine="567"/>
        <w:jc w:val="both"/>
      </w:pPr>
    </w:p>
    <w:p w14:paraId="2A51AADD" w14:textId="77777777" w:rsidR="00995D01" w:rsidRDefault="00995D01" w:rsidP="00E855E3">
      <w:pPr>
        <w:pStyle w:val="Default"/>
        <w:jc w:val="both"/>
        <w:rPr>
          <w:b/>
          <w:bCs/>
          <w:sz w:val="28"/>
          <w:szCs w:val="28"/>
        </w:rPr>
      </w:pPr>
    </w:p>
    <w:p w14:paraId="2579EC98" w14:textId="2E88C8BA" w:rsidR="00E855E3" w:rsidRDefault="00E855E3" w:rsidP="00053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устойчивости финансового положения юридических лиц </w:t>
      </w:r>
    </w:p>
    <w:p w14:paraId="517653C4" w14:textId="043F87A3" w:rsidR="00E855E3" w:rsidRPr="00053610" w:rsidRDefault="00E855E3" w:rsidP="00E855E3">
      <w:pPr>
        <w:pStyle w:val="Default"/>
        <w:ind w:firstLine="426"/>
        <w:jc w:val="both"/>
      </w:pPr>
      <w:r w:rsidRPr="00053610">
        <w:t xml:space="preserve">Финансовое положение юридического лица может быть оценено как устойчивое для целей принятия в качестве Основного обеспечения поручительств/гарантий, если юридическое лицо не находится в процессе ликвидации/банкротства, имеет размер выручки от реализации за последний завершенный финансовый год или за последний отчётный период текущего финансового года не менее суммы займа и процентов, подлежащих уплате за весь период пользования займом, и относится к одной из следующих категорий: </w:t>
      </w:r>
    </w:p>
    <w:p w14:paraId="3E679A20" w14:textId="67C7ACA8" w:rsidR="00C73EF3" w:rsidRDefault="00E855E3" w:rsidP="00426EDD">
      <w:pPr>
        <w:pStyle w:val="Default"/>
        <w:ind w:firstLine="284"/>
        <w:jc w:val="both"/>
      </w:pPr>
      <w:r w:rsidRPr="00053610">
        <w:t>1) юридическое лицо и/или Группа лиц, в которую входит юридическое лицо, имеет кредитный рейтинг, присвоенный по национальной рейтинговой шкале рейтинговыми агентствами, сведения о которых внесены Банком России в реестр рейтинговых агентств, не ниже уровня, установленного Банком России</w:t>
      </w:r>
      <w:r w:rsidR="00C73EF3">
        <w:t xml:space="preserve"> (</w:t>
      </w:r>
      <w:r w:rsidR="00C73EF3" w:rsidRPr="00C73EF3">
        <w:t>Информация о минимальных уровнях кредитных рейтингов, размещается на официальном сайте Банка России (Об установлении перечня национальных рейтинговых агентств, а также минимальных уровней рейтингов кредитоспособности для каждого из включенных в указанный перечень агентств для целей Положения Банка России от 28 июня 2017 года №590-П для п.6.2.4.)</w:t>
      </w:r>
      <w:r w:rsidRPr="00053610">
        <w:t>.</w:t>
      </w:r>
    </w:p>
    <w:p w14:paraId="3496EBC0" w14:textId="1A78E0F4" w:rsidR="00E855E3" w:rsidRPr="00053610" w:rsidRDefault="00E855E3" w:rsidP="00C73EF3">
      <w:pPr>
        <w:pStyle w:val="Default"/>
        <w:ind w:firstLine="426"/>
        <w:jc w:val="both"/>
      </w:pPr>
      <w:r w:rsidRPr="00053610">
        <w:t xml:space="preserve"> При наличии у юридического лица нескольких рейтингов</w:t>
      </w:r>
      <w:r w:rsidR="00C73EF3">
        <w:t xml:space="preserve"> </w:t>
      </w:r>
      <w:r w:rsidRPr="00053610">
        <w:t xml:space="preserve">используется самый низкий из присвоенных. </w:t>
      </w:r>
    </w:p>
    <w:p w14:paraId="1CDEFF31" w14:textId="77777777" w:rsidR="00E855E3" w:rsidRPr="00053610" w:rsidRDefault="00E855E3" w:rsidP="008E7404">
      <w:pPr>
        <w:pStyle w:val="Default"/>
        <w:ind w:firstLine="567"/>
        <w:jc w:val="both"/>
      </w:pPr>
      <w:r w:rsidRPr="00053610">
        <w:t xml:space="preserve">В целях применения критериев, указанных в пунктах 1 и 2, Группой лиц признается совокупность юридических лиц, соответствующих одному или нескольким из следующих признаков: </w:t>
      </w:r>
    </w:p>
    <w:p w14:paraId="31F0B77E" w14:textId="77777777" w:rsidR="00E855E3" w:rsidRPr="00053610" w:rsidRDefault="00E855E3" w:rsidP="00E855E3">
      <w:pPr>
        <w:pStyle w:val="Default"/>
        <w:spacing w:after="36"/>
        <w:ind w:firstLine="284"/>
        <w:jc w:val="both"/>
      </w:pPr>
      <w:r w:rsidRPr="00053610">
        <w:rPr>
          <w:rFonts w:ascii="Arial" w:hAnsi="Arial" w:cs="Arial"/>
        </w:rPr>
        <w:lastRenderedPageBreak/>
        <w:t xml:space="preserve">• </w:t>
      </w:r>
      <w:r w:rsidRPr="00053610">
        <w:t xml:space="preserve">хозяйственное общество (товарищество, хозяйственное партнерство) и юридическое лицо, если такое юридическое лицо имеет в силу своего участия в этом хозяйственном обществе (товариществе, хозяйственном партнерстве) либо в соответствии с полномочиями, полученными, в том числе на основании письменного соглашения, от других лиц,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партнерства); </w:t>
      </w:r>
    </w:p>
    <w:p w14:paraId="7ABC3B8E" w14:textId="77777777" w:rsidR="00E855E3" w:rsidRPr="00053610" w:rsidRDefault="00E855E3" w:rsidP="00E855E3">
      <w:pPr>
        <w:pStyle w:val="Default"/>
        <w:ind w:firstLine="426"/>
        <w:jc w:val="both"/>
      </w:pPr>
      <w:r w:rsidRPr="00053610">
        <w:rPr>
          <w:rFonts w:ascii="Arial" w:hAnsi="Arial" w:cs="Arial"/>
        </w:rPr>
        <w:t xml:space="preserve">• </w:t>
      </w:r>
      <w:r w:rsidRPr="00053610">
        <w:t xml:space="preserve">лица, каждое из которых по указанному выше признаку входит в группу с одним и тем же лицом, а также другие лица, входящие с любым из таких лиц в группу по указанному выше признаку; </w:t>
      </w:r>
    </w:p>
    <w:p w14:paraId="6637A3ED" w14:textId="72378544" w:rsidR="00E855E3" w:rsidRPr="00053610" w:rsidRDefault="006815CD" w:rsidP="008E7404">
      <w:pPr>
        <w:pStyle w:val="Default"/>
        <w:spacing w:after="5"/>
        <w:ind w:firstLine="426"/>
        <w:jc w:val="both"/>
      </w:pPr>
      <w:r>
        <w:t>2</w:t>
      </w:r>
      <w:r w:rsidR="00E855E3" w:rsidRPr="00053610">
        <w:t xml:space="preserve">) юридическое лицо, согласно бухгалтерской (финансовой) отчетности, подготовленной в соответствии с требованиями законодательства, в том числе консолидированной финансовой отчетности в случае, если ее составление предусмотрено требованиями федеральных законов, одновременно соответствует следующим требованиям (А-C): </w:t>
      </w:r>
    </w:p>
    <w:p w14:paraId="7F98A20C" w14:textId="6CE05110" w:rsidR="00E855E3" w:rsidRPr="008E7404" w:rsidRDefault="00E855E3" w:rsidP="008E7404">
      <w:pPr>
        <w:pStyle w:val="Default"/>
        <w:spacing w:after="5"/>
        <w:ind w:firstLine="426"/>
        <w:jc w:val="both"/>
      </w:pPr>
      <w:r w:rsidRPr="00053610">
        <w:t>A</w:t>
      </w:r>
      <w:r w:rsidRPr="008E7404">
        <w:t>. выполнение показателя Чистый долг/EBITDA</w:t>
      </w:r>
      <w:r w:rsidR="005D6882" w:rsidRPr="008E7404">
        <w:t xml:space="preserve"> (Показатель Чистый долг/EBITDA рассчитывается в соответствии со следующей формулой: (долгосрочные кредиты и займы + краткосрочные кредиты и займы - денежные средства и денежные эквиваленты) / (прибыль до налогообложения без учета разовых (чрезвычайных) доходов и расходов за прошедшие 4 квартала + проценты к уплате за прошедшие 4 квартала – проценты к получению за последние 4 квартала + амортизация за прошедшие 4 квартала). </w:t>
      </w:r>
      <w:r w:rsidRPr="008E7404">
        <w:t xml:space="preserve"> – не более 6 за два последних квартала; </w:t>
      </w:r>
    </w:p>
    <w:p w14:paraId="1D8D963B" w14:textId="78B3367F" w:rsidR="00E855E3" w:rsidRPr="00053610" w:rsidRDefault="00E855E3" w:rsidP="008E7404">
      <w:pPr>
        <w:pStyle w:val="Default"/>
        <w:spacing w:after="5"/>
        <w:ind w:firstLine="426"/>
        <w:jc w:val="both"/>
      </w:pPr>
      <w:r w:rsidRPr="00053610">
        <w:t>B. отсутствие существенных (более 15%) отрицательных изменений в динамике следующих показателей: выручка от реализации, прибыль от продаж, валюта баланса</w:t>
      </w:r>
      <w:r w:rsidR="005D6882" w:rsidRPr="005D6882">
        <w:rPr>
          <w:sz w:val="22"/>
          <w:szCs w:val="22"/>
        </w:rPr>
        <w:t xml:space="preserve"> </w:t>
      </w:r>
      <w:r w:rsidR="005D6882">
        <w:rPr>
          <w:sz w:val="22"/>
          <w:szCs w:val="22"/>
        </w:rPr>
        <w:t>(Требование B не распространяется на организации, включенные в Сводный реестр организаций оборонно- промышленного комплекса (в том числе на дочерние общества таких организаций)</w:t>
      </w:r>
      <w:r w:rsidRPr="00053610">
        <w:t xml:space="preserve">. </w:t>
      </w:r>
    </w:p>
    <w:p w14:paraId="5BC91040" w14:textId="10A6D282" w:rsidR="00E855E3" w:rsidRPr="00053610" w:rsidRDefault="00E855E3" w:rsidP="008E7404">
      <w:pPr>
        <w:pStyle w:val="Default"/>
        <w:ind w:firstLine="426"/>
        <w:jc w:val="both"/>
      </w:pPr>
      <w:r w:rsidRPr="00053610">
        <w:t xml:space="preserve">C. Бухгалтерская отчетность юридического лица за последний завершённый финансовый год должна </w:t>
      </w:r>
      <w:r w:rsidRPr="008E7404">
        <w:t>сопровождаться аудиторским заключением (в случаях, если обязательный аудит бухгалтерской отчётности предусмотрен законодательством</w:t>
      </w:r>
      <w:r w:rsidR="005D6882" w:rsidRPr="008E7404">
        <w:t xml:space="preserve"> (Данное требование является обязательным при наступлении срока, установленного действующим законодательством для проведения обязательного аудита. До указанного срока в случае отсутствия аудиторского заключения за последний завершённый финансовый год представляется аудиторское заключение по бухгалтерской отчетности за предшествующий год (если обязательный аудит в предшествующем году был предусмотрен законодательством) </w:t>
      </w:r>
      <w:r w:rsidRPr="008E7404">
        <w:t>либо аудит был проведен по инициативе юридического лица). Аудиторское заключение не должно содержать отрицательного мнения аудитора или отказа аудитора</w:t>
      </w:r>
      <w:r w:rsidRPr="00053610">
        <w:t xml:space="preserve"> от выражения мнения. Если на момент представления бухгалтерской отчетности за последний завершённый финансовый год аудиторское заключение отсутствует, оно должно быть представлено в Фонд после его составления в срок не позднее 10 рабочих дней со дня, следующего за датой аудиторского заключения. </w:t>
      </w:r>
    </w:p>
    <w:p w14:paraId="4B8157A4" w14:textId="77777777" w:rsidR="00E855E3" w:rsidRPr="00053610" w:rsidRDefault="00E855E3" w:rsidP="00E855E3">
      <w:pPr>
        <w:pStyle w:val="Default"/>
        <w:ind w:firstLine="993"/>
        <w:jc w:val="both"/>
      </w:pPr>
      <w:r w:rsidRPr="00053610">
        <w:t xml:space="preserve">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годом, а также последнего отчётного периода текущего финансового года с аналогичным периодом предыдущего года. 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– с предшествующим ему отчетным периодом. </w:t>
      </w:r>
    </w:p>
    <w:p w14:paraId="3C0C1A1A" w14:textId="77777777" w:rsidR="009622D5" w:rsidRPr="00053610" w:rsidRDefault="00E855E3" w:rsidP="00E855E3">
      <w:pPr>
        <w:pStyle w:val="Default"/>
        <w:ind w:firstLine="993"/>
        <w:jc w:val="both"/>
      </w:pPr>
      <w:r w:rsidRPr="00053610">
        <w:t xml:space="preserve">Для целей принятия в качестве Основного обеспечения поручительства/гарантии юридическое лицо признается соответствующим требованию "B" при условии, что настоящее требование выполняется в отношении динамики шести анализируемых значений показателей (выручка от реализации, прибыль от продаж и валюта баланса по итогам года, </w:t>
      </w:r>
      <w:r w:rsidRPr="00053610">
        <w:lastRenderedPageBreak/>
        <w:t>а также по итогам последнего отчетного периода). В случае, если за последний завершенный финансовый год или за последний отчётный период текущего финансового года размер выручки юридического лица от реализации превышает сумму займа как минимум в два раза, то юридическое лицо признается соответствующим требованию "B" при условии, что настоящее требование выполняется в отношении динамики не менее чем пяти анализируемых значений показателей из шести перечисленных выше.</w:t>
      </w:r>
    </w:p>
    <w:p w14:paraId="37522406" w14:textId="77777777" w:rsidR="00E855E3" w:rsidRPr="00053610" w:rsidRDefault="00E855E3" w:rsidP="00E855E3">
      <w:pPr>
        <w:pStyle w:val="Default"/>
        <w:ind w:firstLine="993"/>
        <w:jc w:val="both"/>
      </w:pPr>
      <w:r w:rsidRPr="00053610">
        <w:t>Для целей мониторинга финансового состояния юридических лиц, предоставивших Обеспечение Фонду, в течение срока действия договора займа юридическое лицо признается соответствующим требованию "B" при условии, что оно выполняется в отношении динамики не менее чем четырех анализируемых значений показателей из шести перечисленных выше.</w:t>
      </w:r>
    </w:p>
    <w:p w14:paraId="68BBC70C" w14:textId="77777777" w:rsidR="001106D6" w:rsidRDefault="001106D6" w:rsidP="001106D6">
      <w:pPr>
        <w:pStyle w:val="Default"/>
        <w:jc w:val="both"/>
        <w:rPr>
          <w:sz w:val="28"/>
          <w:szCs w:val="28"/>
        </w:rPr>
      </w:pPr>
    </w:p>
    <w:p w14:paraId="06D009EE" w14:textId="77777777" w:rsidR="001106D6" w:rsidRPr="00C973A2" w:rsidRDefault="001106D6" w:rsidP="001106D6">
      <w:pPr>
        <w:pStyle w:val="Default"/>
        <w:jc w:val="center"/>
        <w:rPr>
          <w:sz w:val="28"/>
          <w:szCs w:val="28"/>
        </w:rPr>
      </w:pPr>
      <w:r w:rsidRPr="00C973A2">
        <w:rPr>
          <w:b/>
          <w:bCs/>
          <w:sz w:val="28"/>
          <w:szCs w:val="28"/>
        </w:rPr>
        <w:t>Методика принятия в залог оборудования, приобретенного заемщиком в рамках Проекта</w:t>
      </w:r>
    </w:p>
    <w:p w14:paraId="76199885" w14:textId="77777777" w:rsidR="001106D6" w:rsidRPr="005F2EE5" w:rsidRDefault="001106D6" w:rsidP="00C973A2">
      <w:pPr>
        <w:pStyle w:val="Default"/>
        <w:ind w:firstLine="567"/>
        <w:jc w:val="both"/>
      </w:pPr>
      <w:r w:rsidRPr="005F2EE5">
        <w:t xml:space="preserve">При принятии в залог оборудования, приобретенного в рамках Проекта/Проектов не позднее 1 (одного) года с момента приобретения, полностью либо частично за счет средств займа, Заемщик предоставляет в Фонд реестр, в который включается следующая информация: </w:t>
      </w:r>
    </w:p>
    <w:p w14:paraId="4EFD14D6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rPr>
          <w:rFonts w:ascii="Arial" w:hAnsi="Arial" w:cs="Arial"/>
        </w:rPr>
        <w:t xml:space="preserve">• </w:t>
      </w:r>
      <w:r w:rsidRPr="005F2EE5">
        <w:t xml:space="preserve">Наименование оборудования (вид, марка, заводской номер); </w:t>
      </w:r>
    </w:p>
    <w:p w14:paraId="5E152C95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rPr>
          <w:rFonts w:ascii="Arial" w:hAnsi="Arial" w:cs="Arial"/>
        </w:rPr>
        <w:t xml:space="preserve">• </w:t>
      </w:r>
      <w:r w:rsidRPr="005F2EE5">
        <w:t xml:space="preserve">Год выпуска; </w:t>
      </w:r>
    </w:p>
    <w:p w14:paraId="6D5C3DF9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Фирма производитель, страна; </w:t>
      </w:r>
    </w:p>
    <w:p w14:paraId="06C25E3D" w14:textId="5201BFAA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•Основные технические характеристики (производительность, мощность, энергопотребление и т.п.); </w:t>
      </w:r>
    </w:p>
    <w:p w14:paraId="69A60979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Местонахождение (адрес, цех, подразделение); </w:t>
      </w:r>
    </w:p>
    <w:p w14:paraId="21C65375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Инвентарный номер по учёту на предприятии; </w:t>
      </w:r>
    </w:p>
    <w:p w14:paraId="507C6394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Документ-основание права собственности (Договор купли-продажи/контракт №, дата); </w:t>
      </w:r>
    </w:p>
    <w:p w14:paraId="4F0507D2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Поставщик; </w:t>
      </w:r>
    </w:p>
    <w:p w14:paraId="0F09E214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Наименование, номер и дата передаточного документа от поставщика; </w:t>
      </w:r>
    </w:p>
    <w:p w14:paraId="0932C421" w14:textId="77777777" w:rsidR="001106D6" w:rsidRPr="005F2EE5" w:rsidRDefault="001106D6" w:rsidP="00C973A2">
      <w:pPr>
        <w:pStyle w:val="Default"/>
        <w:spacing w:after="36"/>
        <w:ind w:firstLine="567"/>
        <w:jc w:val="both"/>
      </w:pPr>
      <w:r w:rsidRPr="005F2EE5">
        <w:t xml:space="preserve">• Документы, подтверждающие факт оплаты (№№, даты и суммы платежных поручений/документов); </w:t>
      </w:r>
    </w:p>
    <w:p w14:paraId="7B9AD590" w14:textId="77777777" w:rsidR="001106D6" w:rsidRPr="005F2EE5" w:rsidRDefault="001106D6" w:rsidP="00C973A2">
      <w:pPr>
        <w:pStyle w:val="Default"/>
        <w:ind w:firstLine="567"/>
        <w:jc w:val="both"/>
      </w:pPr>
      <w:r w:rsidRPr="005F2EE5">
        <w:t xml:space="preserve">• Контрактная стоимость оборудования (в валюте контракта); </w:t>
      </w:r>
    </w:p>
    <w:p w14:paraId="7E0002A0" w14:textId="77777777" w:rsidR="001106D6" w:rsidRPr="005F2EE5" w:rsidRDefault="001106D6" w:rsidP="00C973A2">
      <w:pPr>
        <w:pStyle w:val="Default"/>
        <w:ind w:firstLine="567"/>
        <w:jc w:val="both"/>
      </w:pPr>
    </w:p>
    <w:p w14:paraId="6171A424" w14:textId="77777777" w:rsidR="001106D6" w:rsidRPr="005F2EE5" w:rsidRDefault="001106D6" w:rsidP="00C973A2">
      <w:pPr>
        <w:pStyle w:val="Default"/>
        <w:ind w:firstLine="567"/>
        <w:jc w:val="both"/>
      </w:pPr>
      <w:r w:rsidRPr="005F2EE5">
        <w:t xml:space="preserve">Балансовая стоимость основного средства по данным бухгалтерского учета (в рублях РФ) с выделением контрактной стоимости оборудования, стоимости услуг (работ) и иных затрат, включенных в стоимость основного средства. </w:t>
      </w:r>
    </w:p>
    <w:p w14:paraId="5FB2E832" w14:textId="77777777" w:rsidR="001106D6" w:rsidRPr="005F2EE5" w:rsidRDefault="001106D6" w:rsidP="00C973A2">
      <w:pPr>
        <w:pStyle w:val="Default"/>
        <w:ind w:firstLine="567"/>
        <w:jc w:val="both"/>
      </w:pPr>
      <w:r w:rsidRPr="005F2EE5">
        <w:t xml:space="preserve">Залоговая стоимость такого оборудования определяется Фондом самостоятельно на основе его контрактной стоимости (без учета НДС) с применением шкалы залоговых дисконтов. При этом из балансовой стоимости оборудования исключаются транспортные расходы, затраты на монтаж и пуско-наладку оборудования, обучение сотрудников, другие косвенные затраты. При определении залоговой стоимости оборудования, которое закупалось за пределами Российской Федерации, учитываются расходы по его доставке в случае, если они по условиям контракта включены в стоимость оборудования, а также уплаченные ввозные таможенные платежи. </w:t>
      </w:r>
    </w:p>
    <w:p w14:paraId="6D82AE50" w14:textId="77777777" w:rsidR="001106D6" w:rsidRPr="005F2EE5" w:rsidRDefault="001106D6" w:rsidP="00C973A2">
      <w:pPr>
        <w:pStyle w:val="Default"/>
        <w:ind w:firstLine="567"/>
        <w:jc w:val="both"/>
      </w:pPr>
      <w:r w:rsidRPr="005F2EE5">
        <w:t xml:space="preserve">При принятии в залог оборудования, приобретенного в рамках Проекта за счет средств софинансирования, залоговая стоимость такого оборудования определяется на основе его рыночной стоимости (без учета НДС), определенной в предоставляемом Заемщиком в Фонд Отчете об оценке, за вычетом залогового дисконта. Отчет должен быть </w:t>
      </w:r>
      <w:r w:rsidRPr="005F2EE5">
        <w:lastRenderedPageBreak/>
        <w:t>составлен согласно всем требованиям действующего законодательства в области оценочной деятельности.</w:t>
      </w:r>
    </w:p>
    <w:p w14:paraId="49661F55" w14:textId="1DF25E47" w:rsidR="00FC12F3" w:rsidRDefault="00FC12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1985162" w14:textId="1EB65A35" w:rsidR="001106D6" w:rsidRPr="00660E41" w:rsidRDefault="001106D6" w:rsidP="001106D6">
      <w:pPr>
        <w:pStyle w:val="Default"/>
        <w:jc w:val="right"/>
      </w:pPr>
      <w:r w:rsidRPr="00660E41">
        <w:lastRenderedPageBreak/>
        <w:t xml:space="preserve">Приложение № 2 к Стандарту Фонда </w:t>
      </w:r>
    </w:p>
    <w:p w14:paraId="3B76E668" w14:textId="77777777" w:rsidR="001106D6" w:rsidRPr="00660E41" w:rsidRDefault="001106D6" w:rsidP="001106D6">
      <w:pPr>
        <w:pStyle w:val="Default"/>
        <w:jc w:val="right"/>
      </w:pPr>
      <w:r w:rsidRPr="00660E41">
        <w:t>«Порядок обеспечения возврата</w:t>
      </w:r>
    </w:p>
    <w:p w14:paraId="5B71FA66" w14:textId="77777777" w:rsidR="001106D6" w:rsidRPr="00660E41" w:rsidRDefault="001106D6" w:rsidP="001106D6">
      <w:pPr>
        <w:pStyle w:val="Default"/>
        <w:jc w:val="right"/>
      </w:pPr>
      <w:r w:rsidRPr="00660E41">
        <w:t xml:space="preserve"> займов, предоставленных в качестве </w:t>
      </w:r>
    </w:p>
    <w:p w14:paraId="3E9FF3FF" w14:textId="77777777" w:rsidR="001106D6" w:rsidRPr="00660E41" w:rsidRDefault="001106D6" w:rsidP="001106D6">
      <w:pPr>
        <w:pStyle w:val="Default"/>
        <w:jc w:val="right"/>
      </w:pPr>
      <w:r w:rsidRPr="00660E41">
        <w:t xml:space="preserve">финансового обеспечения проектов» </w:t>
      </w:r>
    </w:p>
    <w:p w14:paraId="40C4447D" w14:textId="77777777" w:rsidR="00660E41" w:rsidRDefault="00660E41" w:rsidP="001106D6">
      <w:pPr>
        <w:pStyle w:val="Default"/>
        <w:jc w:val="center"/>
        <w:rPr>
          <w:b/>
          <w:bCs/>
          <w:sz w:val="28"/>
          <w:szCs w:val="28"/>
        </w:rPr>
      </w:pPr>
    </w:p>
    <w:p w14:paraId="1960486B" w14:textId="77CE4F47" w:rsidR="001106D6" w:rsidRDefault="001106D6" w:rsidP="001106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Виды Дополнительного обеспечения, принимаемого Фондом по финансируемым проектам</w:t>
      </w:r>
    </w:p>
    <w:p w14:paraId="2187F319" w14:textId="77777777" w:rsidR="00660E41" w:rsidRDefault="00660E41" w:rsidP="001106D6">
      <w:pPr>
        <w:pStyle w:val="Default"/>
        <w:spacing w:after="41"/>
        <w:rPr>
          <w:sz w:val="28"/>
          <w:szCs w:val="28"/>
        </w:rPr>
      </w:pPr>
    </w:p>
    <w:p w14:paraId="1DC6EEFD" w14:textId="08AB3531" w:rsidR="001106D6" w:rsidRPr="00C973A2" w:rsidRDefault="001106D6" w:rsidP="00660E41">
      <w:pPr>
        <w:pStyle w:val="Default"/>
        <w:numPr>
          <w:ilvl w:val="0"/>
          <w:numId w:val="7"/>
        </w:numPr>
        <w:spacing w:after="41"/>
        <w:ind w:left="284" w:hanging="284"/>
      </w:pPr>
      <w:r w:rsidRPr="00C973A2">
        <w:t xml:space="preserve">Поручительства физических лиц. </w:t>
      </w:r>
    </w:p>
    <w:p w14:paraId="61D021BD" w14:textId="77777777" w:rsidR="00660E41" w:rsidRPr="00C973A2" w:rsidRDefault="00660E41" w:rsidP="00660E41">
      <w:pPr>
        <w:pStyle w:val="Default"/>
        <w:spacing w:after="41"/>
        <w:ind w:left="720"/>
      </w:pPr>
    </w:p>
    <w:p w14:paraId="73CB29A3" w14:textId="0500B5A1" w:rsidR="001106D6" w:rsidRPr="00C973A2" w:rsidRDefault="001106D6" w:rsidP="00E74854">
      <w:pPr>
        <w:pStyle w:val="Default"/>
        <w:numPr>
          <w:ilvl w:val="0"/>
          <w:numId w:val="7"/>
        </w:numPr>
        <w:spacing w:after="41"/>
        <w:ind w:left="284" w:hanging="284"/>
      </w:pPr>
      <w:r w:rsidRPr="00C973A2">
        <w:t xml:space="preserve">Приобретаемое в процессе реализации проекта имущество, не отвечающее требованиям отнесения к Основному обеспечению. </w:t>
      </w:r>
    </w:p>
    <w:p w14:paraId="18EADBD8" w14:textId="77777777" w:rsidR="00660E41" w:rsidRPr="00C973A2" w:rsidRDefault="00660E41" w:rsidP="00660E41">
      <w:pPr>
        <w:pStyle w:val="Default"/>
        <w:spacing w:after="41"/>
        <w:ind w:left="720"/>
      </w:pPr>
    </w:p>
    <w:p w14:paraId="5409483A" w14:textId="77777777" w:rsidR="001106D6" w:rsidRPr="00C973A2" w:rsidRDefault="001106D6" w:rsidP="001106D6">
      <w:pPr>
        <w:pStyle w:val="Default"/>
      </w:pPr>
      <w:r w:rsidRPr="00C973A2">
        <w:t xml:space="preserve">3. Другие виды Обеспечения, которые по результатам оценки их качества не могут быть отнесены к Основному обеспечению. </w:t>
      </w:r>
    </w:p>
    <w:p w14:paraId="0324B636" w14:textId="77777777" w:rsidR="001106D6" w:rsidRPr="00C973A2" w:rsidRDefault="001106D6" w:rsidP="001106D6">
      <w:pPr>
        <w:pStyle w:val="Default"/>
      </w:pPr>
    </w:p>
    <w:p w14:paraId="326EE0A1" w14:textId="009D55AE" w:rsidR="00FC12F3" w:rsidRDefault="00FC12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0804C2C2" w14:textId="77777777" w:rsidR="001106D6" w:rsidRPr="00E74854" w:rsidRDefault="001106D6" w:rsidP="001106D6">
      <w:pPr>
        <w:pStyle w:val="Default"/>
        <w:jc w:val="right"/>
      </w:pPr>
      <w:r w:rsidRPr="00E74854">
        <w:lastRenderedPageBreak/>
        <w:t xml:space="preserve">Приложение № 3 к Стандарту Фонда </w:t>
      </w:r>
    </w:p>
    <w:p w14:paraId="39B0346A" w14:textId="77777777" w:rsidR="001106D6" w:rsidRPr="00E74854" w:rsidRDefault="001106D6" w:rsidP="001106D6">
      <w:pPr>
        <w:pStyle w:val="Default"/>
        <w:jc w:val="right"/>
      </w:pPr>
      <w:r w:rsidRPr="00E74854">
        <w:t>«Порядок обеспечения возврата</w:t>
      </w:r>
    </w:p>
    <w:p w14:paraId="37D7993B" w14:textId="77777777" w:rsidR="001106D6" w:rsidRPr="00E74854" w:rsidRDefault="001106D6" w:rsidP="001106D6">
      <w:pPr>
        <w:pStyle w:val="Default"/>
        <w:jc w:val="right"/>
      </w:pPr>
      <w:r w:rsidRPr="00E74854">
        <w:t xml:space="preserve"> займов, предоставленных в качестве </w:t>
      </w:r>
    </w:p>
    <w:p w14:paraId="651E344A" w14:textId="77777777" w:rsidR="001106D6" w:rsidRPr="00E74854" w:rsidRDefault="001106D6" w:rsidP="001106D6">
      <w:pPr>
        <w:pStyle w:val="Default"/>
        <w:jc w:val="right"/>
      </w:pPr>
      <w:r w:rsidRPr="00E74854">
        <w:t xml:space="preserve">финансового обеспечения проектов» </w:t>
      </w:r>
    </w:p>
    <w:p w14:paraId="246BC2C0" w14:textId="77777777" w:rsidR="00E74854" w:rsidRDefault="00E74854" w:rsidP="001106D6">
      <w:pPr>
        <w:pStyle w:val="Default"/>
        <w:rPr>
          <w:b/>
          <w:bCs/>
          <w:sz w:val="28"/>
          <w:szCs w:val="28"/>
        </w:rPr>
      </w:pPr>
    </w:p>
    <w:p w14:paraId="52C8DC24" w14:textId="551B1458" w:rsidR="001106D6" w:rsidRDefault="001106D6" w:rsidP="00E748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Виды имущества, не принимаемого Фондом в качестве Обеспечения</w:t>
      </w:r>
    </w:p>
    <w:p w14:paraId="06C024D5" w14:textId="1451B94D" w:rsidR="00E74854" w:rsidRDefault="001106D6" w:rsidP="00C973A2">
      <w:pPr>
        <w:pStyle w:val="Default"/>
        <w:numPr>
          <w:ilvl w:val="0"/>
          <w:numId w:val="8"/>
        </w:numPr>
        <w:spacing w:after="36"/>
        <w:ind w:hanging="218"/>
        <w:jc w:val="both"/>
      </w:pPr>
      <w:r w:rsidRPr="00E74854">
        <w:t>Имущество, залог которого ограничен или запрещен законом (ст. 336 Гражданского кодекса РФ):</w:t>
      </w:r>
    </w:p>
    <w:p w14:paraId="7EB22212" w14:textId="6F78C23A" w:rsidR="001106D6" w:rsidRPr="00E74854" w:rsidRDefault="001106D6" w:rsidP="00C973A2">
      <w:pPr>
        <w:pStyle w:val="Default"/>
        <w:spacing w:after="36"/>
        <w:ind w:firstLine="207"/>
        <w:jc w:val="both"/>
      </w:pPr>
      <w:r w:rsidRPr="00E74854">
        <w:t xml:space="preserve"> </w:t>
      </w:r>
      <w:r w:rsidRPr="00E74854">
        <w:rPr>
          <w:rFonts w:ascii="Arial" w:hAnsi="Arial" w:cs="Arial"/>
        </w:rPr>
        <w:t xml:space="preserve">• </w:t>
      </w:r>
      <w:r w:rsidRPr="00E74854">
        <w:t xml:space="preserve">объекты гражданских прав, ограниченные в обороте (ст. 129 Гражданского кодекса РФ); </w:t>
      </w:r>
    </w:p>
    <w:p w14:paraId="12D21A4E" w14:textId="77777777" w:rsidR="001106D6" w:rsidRPr="00E74854" w:rsidRDefault="001106D6" w:rsidP="00C973A2">
      <w:pPr>
        <w:pStyle w:val="Default"/>
        <w:spacing w:after="36"/>
        <w:ind w:firstLine="207"/>
        <w:jc w:val="both"/>
      </w:pPr>
      <w:r w:rsidRPr="00E74854">
        <w:rPr>
          <w:rFonts w:ascii="Arial" w:hAnsi="Arial" w:cs="Arial"/>
        </w:rPr>
        <w:t xml:space="preserve">• </w:t>
      </w:r>
      <w:r w:rsidRPr="00E74854">
        <w:t xml:space="preserve">имущество, которое не может свободно отчуждаться или переходить от одного лица к другому (п. 1 ст. 129 Гражданского кодекса РФ); </w:t>
      </w:r>
    </w:p>
    <w:p w14:paraId="5FB3B243" w14:textId="513B4638" w:rsidR="001106D6" w:rsidRPr="00E74854" w:rsidRDefault="001106D6" w:rsidP="00C973A2">
      <w:pPr>
        <w:pStyle w:val="Default"/>
        <w:ind w:firstLine="207"/>
        <w:jc w:val="both"/>
      </w:pPr>
      <w:r w:rsidRPr="00E74854">
        <w:rPr>
          <w:rFonts w:ascii="Arial" w:hAnsi="Arial" w:cs="Arial"/>
        </w:rPr>
        <w:t xml:space="preserve">• </w:t>
      </w:r>
      <w:r w:rsidRPr="00E74854">
        <w:t xml:space="preserve">виды объектов гражданских прав, в отношении которых введены ограничения </w:t>
      </w:r>
      <w:proofErr w:type="spellStart"/>
      <w:r w:rsidRPr="00E74854">
        <w:t>оборотоспособности</w:t>
      </w:r>
      <w:proofErr w:type="spellEnd"/>
      <w:r w:rsidRPr="00E74854">
        <w:t xml:space="preserve">, должны быть прямо указаны в законе (п.2 ст. 129 Гражданского кодекса РФ). </w:t>
      </w:r>
    </w:p>
    <w:p w14:paraId="77696D9A" w14:textId="2F519235" w:rsidR="001106D6" w:rsidRPr="00E74854" w:rsidRDefault="001106D6" w:rsidP="00C973A2">
      <w:pPr>
        <w:pStyle w:val="Default"/>
        <w:ind w:firstLine="207"/>
        <w:jc w:val="both"/>
      </w:pPr>
      <w:r w:rsidRPr="00E74854">
        <w:t>2. Имущество, свободная реализация которого запрещена в соответствии с законодательством РФ: вооружение, боеприпасы, военная техника, все виды ракетного топлива, ракетно-космические комплексы, системы</w:t>
      </w:r>
      <w:r w:rsidR="00E74854">
        <w:t xml:space="preserve"> </w:t>
      </w:r>
      <w:r w:rsidRPr="00E74854">
        <w:t xml:space="preserve">связи и управления военного назначения и т.д. </w:t>
      </w:r>
    </w:p>
    <w:p w14:paraId="50F580AC" w14:textId="77777777" w:rsidR="00E74854" w:rsidRDefault="001106D6" w:rsidP="00C973A2">
      <w:pPr>
        <w:pStyle w:val="Default"/>
        <w:spacing w:after="36"/>
        <w:ind w:firstLine="207"/>
        <w:jc w:val="both"/>
      </w:pPr>
      <w:r w:rsidRPr="00E74854">
        <w:t xml:space="preserve">3. Земельные участки, перечисленные в ст. 27 Земельного кодекса РФ: </w:t>
      </w:r>
    </w:p>
    <w:p w14:paraId="229E96F9" w14:textId="6762B638" w:rsidR="001106D6" w:rsidRPr="00E74854" w:rsidRDefault="001106D6" w:rsidP="00C973A2">
      <w:pPr>
        <w:pStyle w:val="Default"/>
        <w:spacing w:after="36"/>
        <w:ind w:firstLine="207"/>
        <w:jc w:val="both"/>
      </w:pPr>
      <w:r w:rsidRPr="00E74854">
        <w:rPr>
          <w:rFonts w:ascii="Arial" w:hAnsi="Arial" w:cs="Arial"/>
        </w:rPr>
        <w:t xml:space="preserve">• </w:t>
      </w:r>
      <w:r w:rsidRPr="00E74854">
        <w:t xml:space="preserve">находящиеся в государственной или муниципальной собственности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 т.д.; </w:t>
      </w:r>
    </w:p>
    <w:p w14:paraId="16E7FB38" w14:textId="058D1188" w:rsidR="001106D6" w:rsidRPr="00E74854" w:rsidRDefault="001106D6" w:rsidP="00C973A2">
      <w:pPr>
        <w:pStyle w:val="Default"/>
        <w:ind w:firstLine="207"/>
        <w:jc w:val="both"/>
      </w:pPr>
      <w:r w:rsidRPr="00E74854">
        <w:rPr>
          <w:rFonts w:ascii="Arial" w:hAnsi="Arial" w:cs="Arial"/>
        </w:rPr>
        <w:t xml:space="preserve">• </w:t>
      </w:r>
      <w:r w:rsidRPr="00E74854">
        <w:t xml:space="preserve">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 материалов и радиоактивных веществ, объектами, в соответствии с видами деятельности которых созданы закрытые административно-территориальные образования, объектами учреждений и органов Федеральной службы исполнения наказаний и т.д. </w:t>
      </w:r>
    </w:p>
    <w:p w14:paraId="5C9D3FB3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4. Земельные участки, относящиеся к лесному фонду (ст. 8 Лесного кодекса РФ). </w:t>
      </w:r>
    </w:p>
    <w:p w14:paraId="17A1A440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5. Участки недр (ст. 1.2 Закона РФ «О недрах»). </w:t>
      </w:r>
    </w:p>
    <w:p w14:paraId="2F26E625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6. Часть земельного участка, площадь которого меньше минимального размера, установленного нормативными актами субъектов РФ и нормативными актами органов местного самоуправления для земель различного и разрешенного использования (ст. 63 Закона «Об ипотеке»). </w:t>
      </w:r>
    </w:p>
    <w:p w14:paraId="0257EA71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7. Доли в праве собственности на земельный участок (ст. 62 Закона «Об ипотеке», кроме случая залога доли в праве собственности на земельный участок одновременно с залогом здания, сооружения, помещения (ст. 69 Закона «Об ипотеке»). </w:t>
      </w:r>
    </w:p>
    <w:p w14:paraId="01C9B218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lastRenderedPageBreak/>
        <w:t xml:space="preserve">8. Недвижимое имущество граждан, на которое в соответствии с законом не может быть обращено взыскание (ст. 446 ГПК РФ). </w:t>
      </w:r>
    </w:p>
    <w:p w14:paraId="31C1E94F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9. Другие объекты гражданских прав, на которые в соответствии с законом не может быть обращено взыскание, изъятые из оборота, свободная реализация которых запрещена. </w:t>
      </w:r>
    </w:p>
    <w:p w14:paraId="77205B13" w14:textId="77777777" w:rsidR="001106D6" w:rsidRPr="00E74854" w:rsidRDefault="001106D6" w:rsidP="00C973A2">
      <w:pPr>
        <w:pStyle w:val="Default"/>
        <w:ind w:firstLine="207"/>
        <w:jc w:val="both"/>
      </w:pPr>
      <w:r w:rsidRPr="00E74854">
        <w:t xml:space="preserve">10. Охраняемые результаты интеллектуальной деятельности и приравненные к ним средства индивидуализации (интеллектуальная собственность). </w:t>
      </w:r>
    </w:p>
    <w:p w14:paraId="2F52E93B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11. Земельные участки сельскохозяйственного назначения. </w:t>
      </w:r>
    </w:p>
    <w:p w14:paraId="1ACA43B1" w14:textId="77777777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12. Права пользования (аренда) имуществом, за исключением случаев, прямо указанных в настоящем стандарте. </w:t>
      </w:r>
    </w:p>
    <w:p w14:paraId="286762F4" w14:textId="1ED533D1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 xml:space="preserve">13. Государственное или муниципальное имущество, переданное юридическим лицам на праве оперативного управления или хозяйственного ведения, за исключением имущества государственных унитарных предприятий и муниципальных унитарных предприятий, отчуждение которого не лишит предприятие возможности осуществлять деятельность, цели, предмет, виды которой определены уставом такого предприятия. </w:t>
      </w:r>
    </w:p>
    <w:p w14:paraId="214BE8AF" w14:textId="2C121B06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>1</w:t>
      </w:r>
      <w:r w:rsidR="00E74854">
        <w:t>4</w:t>
      </w:r>
      <w:r w:rsidRPr="00E74854">
        <w:t xml:space="preserve">. Государственные и корпоративные облигации, номинированные в рублях и обращающиеся на российском биржевом рынке. </w:t>
      </w:r>
    </w:p>
    <w:p w14:paraId="782A4455" w14:textId="0F3A1979" w:rsidR="001106D6" w:rsidRPr="00E74854" w:rsidRDefault="001106D6" w:rsidP="00C973A2">
      <w:pPr>
        <w:pStyle w:val="Default"/>
        <w:spacing w:after="31"/>
        <w:ind w:firstLine="207"/>
        <w:jc w:val="both"/>
      </w:pPr>
      <w:r w:rsidRPr="00E74854">
        <w:t>1</w:t>
      </w:r>
      <w:r w:rsidR="00E74854">
        <w:t>5</w:t>
      </w:r>
      <w:r w:rsidRPr="00E74854">
        <w:t>.</w:t>
      </w:r>
      <w:r w:rsidR="00FB370C">
        <w:t xml:space="preserve"> </w:t>
      </w:r>
      <w:r w:rsidRPr="00E74854">
        <w:t xml:space="preserve"> Акции юридических лиц и доли участия в уставном капитале юридических лиц. </w:t>
      </w:r>
    </w:p>
    <w:p w14:paraId="088C6B04" w14:textId="2518D8A3" w:rsidR="001106D6" w:rsidRPr="00E74854" w:rsidRDefault="001106D6" w:rsidP="00C973A2">
      <w:pPr>
        <w:pStyle w:val="Default"/>
        <w:ind w:firstLine="207"/>
        <w:jc w:val="both"/>
      </w:pPr>
      <w:r w:rsidRPr="00E74854">
        <w:t>1</w:t>
      </w:r>
      <w:r w:rsidR="00745C7B">
        <w:t>6</w:t>
      </w:r>
      <w:r w:rsidRPr="00E74854">
        <w:t xml:space="preserve">. Имущество, залог которого ограничен или запрещен национальным законодательством страны, на территории которой расположено. </w:t>
      </w:r>
    </w:p>
    <w:p w14:paraId="0DF22EEE" w14:textId="42EFF8D2" w:rsidR="001106D6" w:rsidRDefault="001106D6" w:rsidP="00C973A2">
      <w:pPr>
        <w:pStyle w:val="Default"/>
        <w:ind w:firstLine="207"/>
        <w:jc w:val="both"/>
      </w:pPr>
      <w:r w:rsidRPr="00E74854">
        <w:t>1</w:t>
      </w:r>
      <w:r w:rsidR="00745C7B">
        <w:t>7</w:t>
      </w:r>
      <w:r w:rsidRPr="00E74854">
        <w:t xml:space="preserve">. Имущество, </w:t>
      </w:r>
      <w:r w:rsidR="00745C7B">
        <w:t>находящееся за пределами Российской Федерации</w:t>
      </w:r>
      <w:r w:rsidRPr="00E74854">
        <w:t xml:space="preserve">. </w:t>
      </w:r>
    </w:p>
    <w:p w14:paraId="0B295D2B" w14:textId="44AFC312" w:rsidR="00FB370C" w:rsidRPr="00E74854" w:rsidRDefault="00FB370C" w:rsidP="00C973A2">
      <w:pPr>
        <w:pStyle w:val="Default"/>
        <w:ind w:firstLine="207"/>
        <w:jc w:val="both"/>
      </w:pPr>
      <w:r>
        <w:t>18. Товары в обороте.</w:t>
      </w:r>
    </w:p>
    <w:p w14:paraId="1EFF15F6" w14:textId="77777777" w:rsidR="001106D6" w:rsidRPr="00E74854" w:rsidRDefault="001106D6" w:rsidP="00C973A2">
      <w:pPr>
        <w:pStyle w:val="Default"/>
        <w:ind w:firstLine="207"/>
        <w:jc w:val="both"/>
      </w:pPr>
    </w:p>
    <w:p w14:paraId="3AFA4C5E" w14:textId="77777777" w:rsidR="001106D6" w:rsidRPr="00E74854" w:rsidRDefault="001106D6" w:rsidP="00C973A2">
      <w:pPr>
        <w:pStyle w:val="Default"/>
        <w:ind w:firstLine="207"/>
        <w:jc w:val="both"/>
      </w:pPr>
    </w:p>
    <w:p w14:paraId="2F508F5C" w14:textId="77777777" w:rsidR="001106D6" w:rsidRPr="00E74854" w:rsidRDefault="001106D6" w:rsidP="001106D6">
      <w:pPr>
        <w:pStyle w:val="Default"/>
        <w:jc w:val="both"/>
      </w:pPr>
    </w:p>
    <w:sectPr w:rsidR="001106D6" w:rsidRPr="00E74854" w:rsidSect="00505846">
      <w:footerReference w:type="default" r:id="rId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0221" w14:textId="77777777" w:rsidR="009544C4" w:rsidRDefault="009544C4" w:rsidP="0059259D">
      <w:pPr>
        <w:spacing w:after="0" w:line="240" w:lineRule="auto"/>
      </w:pPr>
      <w:r>
        <w:separator/>
      </w:r>
    </w:p>
  </w:endnote>
  <w:endnote w:type="continuationSeparator" w:id="0">
    <w:p w14:paraId="06314960" w14:textId="77777777" w:rsidR="009544C4" w:rsidRDefault="009544C4" w:rsidP="0059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758186"/>
      <w:docPartObj>
        <w:docPartGallery w:val="Page Numbers (Bottom of Page)"/>
        <w:docPartUnique/>
      </w:docPartObj>
    </w:sdtPr>
    <w:sdtContent>
      <w:p w14:paraId="0DE61CF7" w14:textId="76CAC73F" w:rsidR="009D1A71" w:rsidRDefault="009D1A71" w:rsidP="00935619">
        <w:pPr>
          <w:pStyle w:val="a5"/>
          <w:jc w:val="right"/>
        </w:pPr>
        <w:r>
          <w:rPr>
            <w:rFonts w:ascii="Times New Roman" w:eastAsia="Arial" w:hAnsi="Times New Roman" w:cs="Times New Roman"/>
            <w:noProof/>
            <w:sz w:val="24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77595C94" wp14:editId="3B71E607">
                  <wp:simplePos x="0" y="0"/>
                  <wp:positionH relativeFrom="page">
                    <wp:posOffset>1153795</wp:posOffset>
                  </wp:positionH>
                  <wp:positionV relativeFrom="page">
                    <wp:posOffset>9815195</wp:posOffset>
                  </wp:positionV>
                  <wp:extent cx="5970270" cy="45719"/>
                  <wp:effectExtent l="0" t="0" r="3175" b="0"/>
                  <wp:wrapSquare wrapText="bothSides"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 flipV="1">
                            <a:off x="0" y="0"/>
                            <a:ext cx="5970270" cy="457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9CC254C" id="Прямоугольник 2" o:spid="_x0000_s1026" style="position:absolute;margin-left:90.85pt;margin-top:772.85pt;width:470.1pt;height:3.6pt;flip:y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" fillcolor="#4f81bd" stroked="f" strokeweight="2pt">
                  <w10:wrap type="square" anchorx="page" anchory="page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3836" w14:textId="77777777" w:rsidR="009544C4" w:rsidRDefault="009544C4" w:rsidP="0059259D">
      <w:pPr>
        <w:spacing w:after="0" w:line="240" w:lineRule="auto"/>
      </w:pPr>
      <w:r>
        <w:separator/>
      </w:r>
    </w:p>
  </w:footnote>
  <w:footnote w:type="continuationSeparator" w:id="0">
    <w:p w14:paraId="79470285" w14:textId="77777777" w:rsidR="009544C4" w:rsidRDefault="009544C4" w:rsidP="0059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20522"/>
    <w:multiLevelType w:val="hybridMultilevel"/>
    <w:tmpl w:val="C09F9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D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917B9B"/>
    <w:multiLevelType w:val="hybridMultilevel"/>
    <w:tmpl w:val="AABC7D68"/>
    <w:lvl w:ilvl="0" w:tplc="9BD023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939FF"/>
    <w:multiLevelType w:val="hybridMultilevel"/>
    <w:tmpl w:val="41DC274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85C6188"/>
    <w:multiLevelType w:val="hybridMultilevel"/>
    <w:tmpl w:val="96E5C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063507"/>
    <w:multiLevelType w:val="hybridMultilevel"/>
    <w:tmpl w:val="A3F8DA84"/>
    <w:lvl w:ilvl="0" w:tplc="6BDE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5D5"/>
    <w:multiLevelType w:val="hybridMultilevel"/>
    <w:tmpl w:val="ED6E1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043C70"/>
    <w:multiLevelType w:val="hybridMultilevel"/>
    <w:tmpl w:val="824AE6BE"/>
    <w:lvl w:ilvl="0" w:tplc="F7B4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266D"/>
    <w:multiLevelType w:val="hybridMultilevel"/>
    <w:tmpl w:val="464C2356"/>
    <w:lvl w:ilvl="0" w:tplc="C198826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9AFE"/>
    <w:multiLevelType w:val="hybridMultilevel"/>
    <w:tmpl w:val="4E3C44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EB29ED"/>
    <w:multiLevelType w:val="hybridMultilevel"/>
    <w:tmpl w:val="66A2E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357B8B"/>
    <w:multiLevelType w:val="hybridMultilevel"/>
    <w:tmpl w:val="1B12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E31E7"/>
    <w:multiLevelType w:val="hybridMultilevel"/>
    <w:tmpl w:val="3B92B6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248908">
    <w:abstractNumId w:val="0"/>
  </w:num>
  <w:num w:numId="2" w16cid:durableId="458032377">
    <w:abstractNumId w:val="9"/>
  </w:num>
  <w:num w:numId="3" w16cid:durableId="1699962646">
    <w:abstractNumId w:val="4"/>
  </w:num>
  <w:num w:numId="4" w16cid:durableId="152961995">
    <w:abstractNumId w:val="1"/>
  </w:num>
  <w:num w:numId="5" w16cid:durableId="1098871877">
    <w:abstractNumId w:val="11"/>
  </w:num>
  <w:num w:numId="6" w16cid:durableId="152722720">
    <w:abstractNumId w:val="8"/>
  </w:num>
  <w:num w:numId="7" w16cid:durableId="2047168908">
    <w:abstractNumId w:val="5"/>
  </w:num>
  <w:num w:numId="8" w16cid:durableId="1029374161">
    <w:abstractNumId w:val="2"/>
  </w:num>
  <w:num w:numId="9" w16cid:durableId="882978661">
    <w:abstractNumId w:val="7"/>
  </w:num>
  <w:num w:numId="10" w16cid:durableId="854655113">
    <w:abstractNumId w:val="6"/>
  </w:num>
  <w:num w:numId="11" w16cid:durableId="629166721">
    <w:abstractNumId w:val="10"/>
  </w:num>
  <w:num w:numId="12" w16cid:durableId="1778476427">
    <w:abstractNumId w:val="12"/>
  </w:num>
  <w:num w:numId="13" w16cid:durableId="1773740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D"/>
    <w:rsid w:val="00000D0E"/>
    <w:rsid w:val="00002FD0"/>
    <w:rsid w:val="00007DEC"/>
    <w:rsid w:val="000361E4"/>
    <w:rsid w:val="00037E82"/>
    <w:rsid w:val="000478A9"/>
    <w:rsid w:val="00053610"/>
    <w:rsid w:val="000654AA"/>
    <w:rsid w:val="000779DC"/>
    <w:rsid w:val="00083167"/>
    <w:rsid w:val="000D1C21"/>
    <w:rsid w:val="000F0AFD"/>
    <w:rsid w:val="000F7275"/>
    <w:rsid w:val="001106D6"/>
    <w:rsid w:val="00116AF5"/>
    <w:rsid w:val="0016071C"/>
    <w:rsid w:val="00166175"/>
    <w:rsid w:val="00171637"/>
    <w:rsid w:val="00184195"/>
    <w:rsid w:val="001870EA"/>
    <w:rsid w:val="001A04EA"/>
    <w:rsid w:val="001B221E"/>
    <w:rsid w:val="001D529E"/>
    <w:rsid w:val="0022257B"/>
    <w:rsid w:val="002421B2"/>
    <w:rsid w:val="00252E95"/>
    <w:rsid w:val="0027584C"/>
    <w:rsid w:val="002A300F"/>
    <w:rsid w:val="002E4472"/>
    <w:rsid w:val="00317095"/>
    <w:rsid w:val="003356C7"/>
    <w:rsid w:val="003372D2"/>
    <w:rsid w:val="00383DB1"/>
    <w:rsid w:val="003C0E61"/>
    <w:rsid w:val="003D4A52"/>
    <w:rsid w:val="003F6377"/>
    <w:rsid w:val="00426EDD"/>
    <w:rsid w:val="00470B38"/>
    <w:rsid w:val="00471FAD"/>
    <w:rsid w:val="0047595F"/>
    <w:rsid w:val="00486A6B"/>
    <w:rsid w:val="004C62A6"/>
    <w:rsid w:val="004D641B"/>
    <w:rsid w:val="004E636F"/>
    <w:rsid w:val="004F3F9D"/>
    <w:rsid w:val="00505846"/>
    <w:rsid w:val="00516257"/>
    <w:rsid w:val="005239D2"/>
    <w:rsid w:val="005335A1"/>
    <w:rsid w:val="00552247"/>
    <w:rsid w:val="005542EF"/>
    <w:rsid w:val="00584C3A"/>
    <w:rsid w:val="0059259D"/>
    <w:rsid w:val="005A5D22"/>
    <w:rsid w:val="005B1E58"/>
    <w:rsid w:val="005C06FC"/>
    <w:rsid w:val="005C23E9"/>
    <w:rsid w:val="005C7ECD"/>
    <w:rsid w:val="005D6882"/>
    <w:rsid w:val="005E0AF1"/>
    <w:rsid w:val="005F2EE5"/>
    <w:rsid w:val="005F3ECB"/>
    <w:rsid w:val="00640C70"/>
    <w:rsid w:val="006559E0"/>
    <w:rsid w:val="00660E41"/>
    <w:rsid w:val="00661878"/>
    <w:rsid w:val="00662DF5"/>
    <w:rsid w:val="006815CD"/>
    <w:rsid w:val="00685EC1"/>
    <w:rsid w:val="006A43BE"/>
    <w:rsid w:val="006B2046"/>
    <w:rsid w:val="006E0056"/>
    <w:rsid w:val="006F3575"/>
    <w:rsid w:val="00703C86"/>
    <w:rsid w:val="00721F78"/>
    <w:rsid w:val="00745C7B"/>
    <w:rsid w:val="0077168D"/>
    <w:rsid w:val="00775172"/>
    <w:rsid w:val="0079417B"/>
    <w:rsid w:val="007C6D83"/>
    <w:rsid w:val="0083524B"/>
    <w:rsid w:val="00865308"/>
    <w:rsid w:val="008D5CC5"/>
    <w:rsid w:val="008D7DC2"/>
    <w:rsid w:val="008E7404"/>
    <w:rsid w:val="009058CE"/>
    <w:rsid w:val="00931267"/>
    <w:rsid w:val="00935619"/>
    <w:rsid w:val="00935E73"/>
    <w:rsid w:val="009544C4"/>
    <w:rsid w:val="009622D5"/>
    <w:rsid w:val="00995D01"/>
    <w:rsid w:val="009B7217"/>
    <w:rsid w:val="009C691F"/>
    <w:rsid w:val="009D1A71"/>
    <w:rsid w:val="009D66D0"/>
    <w:rsid w:val="009F314C"/>
    <w:rsid w:val="009F7EF3"/>
    <w:rsid w:val="00A1303A"/>
    <w:rsid w:val="00A141DA"/>
    <w:rsid w:val="00A1457A"/>
    <w:rsid w:val="00A1742D"/>
    <w:rsid w:val="00A252DE"/>
    <w:rsid w:val="00A47C9C"/>
    <w:rsid w:val="00A81DF9"/>
    <w:rsid w:val="00AB4DC2"/>
    <w:rsid w:val="00AC67FA"/>
    <w:rsid w:val="00AD18DE"/>
    <w:rsid w:val="00AE169A"/>
    <w:rsid w:val="00AF2D45"/>
    <w:rsid w:val="00B00F65"/>
    <w:rsid w:val="00B24080"/>
    <w:rsid w:val="00B643C4"/>
    <w:rsid w:val="00B77F1F"/>
    <w:rsid w:val="00BC0081"/>
    <w:rsid w:val="00BF08AD"/>
    <w:rsid w:val="00C138A7"/>
    <w:rsid w:val="00C14443"/>
    <w:rsid w:val="00C336B0"/>
    <w:rsid w:val="00C73EF3"/>
    <w:rsid w:val="00C973A2"/>
    <w:rsid w:val="00CB38EB"/>
    <w:rsid w:val="00CB717D"/>
    <w:rsid w:val="00CD1D3A"/>
    <w:rsid w:val="00CE5CE1"/>
    <w:rsid w:val="00CF0C28"/>
    <w:rsid w:val="00CF4E6E"/>
    <w:rsid w:val="00D03B1C"/>
    <w:rsid w:val="00D12E75"/>
    <w:rsid w:val="00D44A73"/>
    <w:rsid w:val="00D52266"/>
    <w:rsid w:val="00D63551"/>
    <w:rsid w:val="00D9505D"/>
    <w:rsid w:val="00DA071C"/>
    <w:rsid w:val="00DB4CBE"/>
    <w:rsid w:val="00DD66B4"/>
    <w:rsid w:val="00DF1DE2"/>
    <w:rsid w:val="00DF4084"/>
    <w:rsid w:val="00E00BFE"/>
    <w:rsid w:val="00E17F64"/>
    <w:rsid w:val="00E23B7E"/>
    <w:rsid w:val="00E30FF7"/>
    <w:rsid w:val="00E52F22"/>
    <w:rsid w:val="00E60943"/>
    <w:rsid w:val="00E65341"/>
    <w:rsid w:val="00E72F42"/>
    <w:rsid w:val="00E74854"/>
    <w:rsid w:val="00E855E3"/>
    <w:rsid w:val="00EA1E96"/>
    <w:rsid w:val="00EA692D"/>
    <w:rsid w:val="00EA7666"/>
    <w:rsid w:val="00EC758C"/>
    <w:rsid w:val="00ED3EA2"/>
    <w:rsid w:val="00EE11D9"/>
    <w:rsid w:val="00EE5554"/>
    <w:rsid w:val="00F54C93"/>
    <w:rsid w:val="00F62EDB"/>
    <w:rsid w:val="00F76756"/>
    <w:rsid w:val="00F95787"/>
    <w:rsid w:val="00FB370C"/>
    <w:rsid w:val="00FC12F3"/>
    <w:rsid w:val="00FE7BBC"/>
    <w:rsid w:val="00FF0A3E"/>
    <w:rsid w:val="00FF35EB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C6B96"/>
  <w15:docId w15:val="{A54BE135-4395-4142-9ABE-16B3A16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59D"/>
  </w:style>
  <w:style w:type="paragraph" w:styleId="a5">
    <w:name w:val="footer"/>
    <w:basedOn w:val="a"/>
    <w:link w:val="a6"/>
    <w:uiPriority w:val="99"/>
    <w:unhideWhenUsed/>
    <w:rsid w:val="0059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59D"/>
  </w:style>
  <w:style w:type="table" w:styleId="a7">
    <w:name w:val="Table Grid"/>
    <w:basedOn w:val="a1"/>
    <w:uiPriority w:val="59"/>
    <w:rsid w:val="0031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0E41"/>
    <w:pPr>
      <w:ind w:left="720"/>
      <w:contextualSpacing/>
    </w:pPr>
  </w:style>
  <w:style w:type="paragraph" w:styleId="a9">
    <w:name w:val="Revision"/>
    <w:hidden/>
    <w:uiPriority w:val="99"/>
    <w:semiHidden/>
    <w:rsid w:val="002E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ARBMKK</cp:lastModifiedBy>
  <cp:revision>2</cp:revision>
  <cp:lastPrinted>2022-06-22T09:33:00Z</cp:lastPrinted>
  <dcterms:created xsi:type="dcterms:W3CDTF">2022-12-29T09:24:00Z</dcterms:created>
  <dcterms:modified xsi:type="dcterms:W3CDTF">2022-12-29T09:24:00Z</dcterms:modified>
</cp:coreProperties>
</file>